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C9A" w:rsidRDefault="00E56C9A" w:rsidP="00E56C9A">
      <w:pPr>
        <w:autoSpaceDE w:val="0"/>
        <w:autoSpaceDN w:val="0"/>
        <w:adjustRightInd w:val="0"/>
        <w:jc w:val="right"/>
        <w:rPr>
          <w:rFonts w:ascii="Arial" w:eastAsia="Arial Unicode MS" w:hAnsi="Arial" w:cs="Arial"/>
          <w:b/>
          <w:color w:val="000000"/>
        </w:rPr>
      </w:pPr>
      <w:r>
        <w:rPr>
          <w:rFonts w:ascii="Arial" w:eastAsia="Arial Unicode MS" w:hAnsi="Arial" w:cs="Arial"/>
          <w:b/>
          <w:color w:val="000000"/>
        </w:rPr>
        <w:t>Appendix 'A'</w:t>
      </w:r>
    </w:p>
    <w:p w:rsidR="00E56C9A" w:rsidRDefault="00E56C9A" w:rsidP="00DC78E9">
      <w:pPr>
        <w:autoSpaceDE w:val="0"/>
        <w:autoSpaceDN w:val="0"/>
        <w:adjustRightInd w:val="0"/>
        <w:jc w:val="both"/>
        <w:rPr>
          <w:rFonts w:ascii="Arial" w:eastAsia="Arial Unicode MS" w:hAnsi="Arial" w:cs="Arial"/>
          <w:b/>
          <w:color w:val="000000"/>
        </w:rPr>
      </w:pPr>
    </w:p>
    <w:p w:rsidR="00DC78E9" w:rsidRPr="002D5212" w:rsidRDefault="00E56C9A" w:rsidP="00DC78E9">
      <w:pPr>
        <w:autoSpaceDE w:val="0"/>
        <w:autoSpaceDN w:val="0"/>
        <w:adjustRightInd w:val="0"/>
        <w:jc w:val="both"/>
        <w:rPr>
          <w:rFonts w:ascii="Arial" w:eastAsia="Arial Unicode MS" w:hAnsi="Arial" w:cs="Arial"/>
          <w:b/>
          <w:color w:val="000000"/>
          <w:sz w:val="32"/>
          <w:szCs w:val="22"/>
        </w:rPr>
      </w:pPr>
      <w:r w:rsidRPr="002D5212">
        <w:rPr>
          <w:rFonts w:ascii="Arial" w:eastAsia="Arial Unicode MS" w:hAnsi="Arial" w:cs="Arial"/>
          <w:b/>
          <w:color w:val="000000"/>
          <w:sz w:val="32"/>
          <w:szCs w:val="22"/>
        </w:rPr>
        <w:t>ACCOUNTS OF THE FUND</w:t>
      </w:r>
    </w:p>
    <w:p w:rsidR="00DC78E9" w:rsidRPr="002D5212" w:rsidRDefault="00E56C9A" w:rsidP="00DC78E9">
      <w:pPr>
        <w:autoSpaceDE w:val="0"/>
        <w:autoSpaceDN w:val="0"/>
        <w:adjustRightInd w:val="0"/>
        <w:jc w:val="both"/>
        <w:rPr>
          <w:rFonts w:ascii="Arial" w:eastAsia="Arial Unicode MS" w:hAnsi="Arial" w:cs="Arial"/>
          <w:b/>
          <w:color w:val="000000"/>
          <w:szCs w:val="22"/>
        </w:rPr>
      </w:pPr>
    </w:p>
    <w:p w:rsidR="00DC78E9" w:rsidRPr="002D5212" w:rsidRDefault="00E56C9A" w:rsidP="00DC78E9">
      <w:pPr>
        <w:autoSpaceDE w:val="0"/>
        <w:autoSpaceDN w:val="0"/>
        <w:adjustRightInd w:val="0"/>
        <w:jc w:val="both"/>
        <w:rPr>
          <w:rFonts w:ascii="Arial" w:eastAsia="Arial Unicode MS" w:hAnsi="Arial" w:cs="Arial"/>
          <w:b/>
          <w:color w:val="000000"/>
          <w:sz w:val="32"/>
          <w:szCs w:val="22"/>
        </w:rPr>
      </w:pPr>
      <w:r w:rsidRPr="002D5212">
        <w:rPr>
          <w:rFonts w:ascii="Arial" w:eastAsia="Arial Unicode MS" w:hAnsi="Arial" w:cs="Arial"/>
          <w:b/>
          <w:color w:val="000000"/>
          <w:sz w:val="32"/>
          <w:szCs w:val="22"/>
        </w:rPr>
        <w:t>Responsibilities for the Statement of Accounts</w:t>
      </w:r>
    </w:p>
    <w:p w:rsidR="00DC78E9" w:rsidRPr="002D5212" w:rsidRDefault="00E56C9A" w:rsidP="00DC78E9">
      <w:pPr>
        <w:autoSpaceDE w:val="0"/>
        <w:autoSpaceDN w:val="0"/>
        <w:adjustRightInd w:val="0"/>
        <w:jc w:val="both"/>
        <w:rPr>
          <w:rFonts w:ascii="Arial" w:eastAsia="Arial Unicode MS" w:hAnsi="Arial" w:cs="Arial"/>
          <w:b/>
          <w:color w:val="000000"/>
          <w:szCs w:val="22"/>
        </w:rPr>
      </w:pPr>
    </w:p>
    <w:p w:rsidR="00DC78E9" w:rsidRPr="002D5212" w:rsidRDefault="00E56C9A" w:rsidP="00DC78E9">
      <w:pPr>
        <w:keepNext/>
        <w:autoSpaceDE w:val="0"/>
        <w:autoSpaceDN w:val="0"/>
        <w:adjustRightInd w:val="0"/>
        <w:jc w:val="both"/>
        <w:outlineLvl w:val="3"/>
        <w:rPr>
          <w:rFonts w:ascii="Arial" w:eastAsia="Arial Unicode MS" w:hAnsi="Arial" w:cs="Arial"/>
          <w:b/>
          <w:snapToGrid w:val="0"/>
          <w:color w:val="000000"/>
          <w:sz w:val="32"/>
          <w:szCs w:val="22"/>
        </w:rPr>
      </w:pPr>
      <w:r w:rsidRPr="002D5212">
        <w:rPr>
          <w:rFonts w:ascii="Arial" w:eastAsia="Arial Unicode MS" w:hAnsi="Arial" w:cs="Arial"/>
          <w:b/>
          <w:snapToGrid w:val="0"/>
          <w:color w:val="000000"/>
          <w:sz w:val="32"/>
          <w:szCs w:val="22"/>
        </w:rPr>
        <w:t>The responsibilities of the administering authority</w:t>
      </w:r>
    </w:p>
    <w:p w:rsidR="00DC78E9" w:rsidRPr="002D5212" w:rsidRDefault="00E56C9A" w:rsidP="00DC78E9">
      <w:pPr>
        <w:keepNext/>
        <w:autoSpaceDE w:val="0"/>
        <w:autoSpaceDN w:val="0"/>
        <w:adjustRightInd w:val="0"/>
        <w:jc w:val="both"/>
        <w:outlineLvl w:val="3"/>
        <w:rPr>
          <w:rFonts w:ascii="Arial" w:eastAsia="Arial Unicode MS" w:hAnsi="Arial" w:cs="Arial"/>
          <w:b/>
          <w:snapToGrid w:val="0"/>
          <w:color w:val="000000"/>
          <w:sz w:val="12"/>
          <w:szCs w:val="22"/>
        </w:rPr>
      </w:pPr>
    </w:p>
    <w:p w:rsidR="00DC78E9" w:rsidRPr="002D5212" w:rsidRDefault="00E56C9A" w:rsidP="00DC78E9">
      <w:pPr>
        <w:autoSpaceDE w:val="0"/>
        <w:autoSpaceDN w:val="0"/>
        <w:adjustRightInd w:val="0"/>
        <w:spacing w:after="120"/>
        <w:jc w:val="both"/>
        <w:rPr>
          <w:rFonts w:ascii="Arial" w:eastAsia="Arial Unicode MS" w:hAnsi="Arial" w:cs="Arial"/>
          <w:color w:val="000000"/>
          <w:sz w:val="22"/>
          <w:szCs w:val="22"/>
        </w:rPr>
      </w:pPr>
      <w:r w:rsidRPr="002D5212">
        <w:rPr>
          <w:rFonts w:ascii="Arial" w:eastAsia="Arial Unicode MS" w:hAnsi="Arial" w:cs="Arial"/>
          <w:color w:val="000000"/>
          <w:sz w:val="22"/>
          <w:szCs w:val="22"/>
        </w:rPr>
        <w:t>The administering authority is required:</w:t>
      </w:r>
    </w:p>
    <w:p w:rsidR="00DC78E9" w:rsidRPr="002D5212" w:rsidRDefault="00E56C9A" w:rsidP="00DC78E9">
      <w:pPr>
        <w:pStyle w:val="ListParagraph"/>
        <w:numPr>
          <w:ilvl w:val="0"/>
          <w:numId w:val="21"/>
        </w:numPr>
        <w:autoSpaceDE w:val="0"/>
        <w:autoSpaceDN w:val="0"/>
        <w:adjustRightInd w:val="0"/>
        <w:spacing w:after="120"/>
        <w:jc w:val="both"/>
        <w:rPr>
          <w:rFonts w:ascii="Arial" w:eastAsia="Arial Unicode MS" w:hAnsi="Arial" w:cs="Arial"/>
          <w:color w:val="000000"/>
          <w:sz w:val="22"/>
          <w:szCs w:val="22"/>
        </w:rPr>
      </w:pPr>
      <w:r w:rsidRPr="002D5212">
        <w:rPr>
          <w:rFonts w:ascii="Arial" w:eastAsia="Arial Unicode MS" w:hAnsi="Arial" w:cs="Arial"/>
          <w:color w:val="000000"/>
          <w:sz w:val="22"/>
          <w:szCs w:val="22"/>
        </w:rPr>
        <w:t xml:space="preserve">To make arrangements for the proper administration of the financial affairs of the </w:t>
      </w:r>
      <w:r w:rsidRPr="002D5212">
        <w:rPr>
          <w:rFonts w:ascii="Arial" w:eastAsia="Arial Unicode MS" w:hAnsi="Arial" w:cs="Arial"/>
          <w:color w:val="000000"/>
          <w:sz w:val="22"/>
          <w:szCs w:val="22"/>
        </w:rPr>
        <w:t>Lancashire County Pension Fund (Pension Fund), and to ensure that an officer has the responsibility for the administration of those affairs.  For Lancashire County Council, the respective officer is the Director of Financial Resources, who is also the Dire</w:t>
      </w:r>
      <w:r w:rsidRPr="002D5212">
        <w:rPr>
          <w:rFonts w:ascii="Arial" w:eastAsia="Arial Unicode MS" w:hAnsi="Arial" w:cs="Arial"/>
          <w:color w:val="000000"/>
          <w:sz w:val="22"/>
          <w:szCs w:val="22"/>
        </w:rPr>
        <w:t>ctor of Financial Resources to the Pension Fund;</w:t>
      </w:r>
    </w:p>
    <w:p w:rsidR="00DC78E9" w:rsidRPr="002D5212" w:rsidRDefault="00E56C9A" w:rsidP="00DC78E9">
      <w:pPr>
        <w:pStyle w:val="ListParagraph"/>
        <w:numPr>
          <w:ilvl w:val="0"/>
          <w:numId w:val="21"/>
        </w:numPr>
        <w:autoSpaceDE w:val="0"/>
        <w:autoSpaceDN w:val="0"/>
        <w:adjustRightInd w:val="0"/>
        <w:jc w:val="both"/>
        <w:rPr>
          <w:rFonts w:ascii="Arial" w:eastAsia="Arial Unicode MS" w:hAnsi="Arial" w:cs="Arial"/>
          <w:color w:val="000000"/>
          <w:sz w:val="22"/>
          <w:szCs w:val="22"/>
        </w:rPr>
      </w:pPr>
      <w:r w:rsidRPr="002D5212">
        <w:rPr>
          <w:rFonts w:ascii="Arial" w:eastAsia="Arial Unicode MS" w:hAnsi="Arial" w:cs="Arial"/>
          <w:color w:val="000000"/>
          <w:sz w:val="22"/>
          <w:szCs w:val="22"/>
        </w:rPr>
        <w:t>To manage its affairs to secure economic, efficient and effective use of resources, and to safeguard its assets.</w:t>
      </w:r>
    </w:p>
    <w:p w:rsidR="00DC78E9" w:rsidRPr="002D5212" w:rsidRDefault="00E56C9A" w:rsidP="00DC78E9">
      <w:pPr>
        <w:autoSpaceDE w:val="0"/>
        <w:autoSpaceDN w:val="0"/>
        <w:adjustRightInd w:val="0"/>
        <w:ind w:left="360"/>
        <w:jc w:val="both"/>
        <w:rPr>
          <w:rFonts w:ascii="Arial" w:eastAsia="Arial Unicode MS" w:hAnsi="Arial" w:cs="Arial"/>
          <w:color w:val="000000"/>
          <w:sz w:val="22"/>
          <w:szCs w:val="22"/>
        </w:rPr>
      </w:pPr>
    </w:p>
    <w:p w:rsidR="00DC78E9" w:rsidRPr="002D5212" w:rsidRDefault="00E56C9A" w:rsidP="00DC78E9">
      <w:pPr>
        <w:keepNext/>
        <w:autoSpaceDE w:val="0"/>
        <w:autoSpaceDN w:val="0"/>
        <w:adjustRightInd w:val="0"/>
        <w:jc w:val="both"/>
        <w:outlineLvl w:val="3"/>
        <w:rPr>
          <w:rFonts w:ascii="Arial" w:eastAsia="Arial Unicode MS" w:hAnsi="Arial" w:cs="Arial"/>
          <w:b/>
          <w:snapToGrid w:val="0"/>
          <w:color w:val="000000"/>
          <w:sz w:val="32"/>
          <w:szCs w:val="22"/>
        </w:rPr>
      </w:pPr>
      <w:r w:rsidRPr="002D5212">
        <w:rPr>
          <w:rFonts w:ascii="Arial" w:eastAsia="Arial Unicode MS" w:hAnsi="Arial" w:cs="Arial"/>
          <w:b/>
          <w:snapToGrid w:val="0"/>
          <w:color w:val="000000"/>
          <w:sz w:val="32"/>
          <w:szCs w:val="22"/>
        </w:rPr>
        <w:t>The responsibilities of the Director of Financial Resources to the Pension Fund</w:t>
      </w:r>
    </w:p>
    <w:p w:rsidR="00DC78E9" w:rsidRPr="002D5212" w:rsidRDefault="00E56C9A" w:rsidP="00DC78E9">
      <w:pPr>
        <w:keepNext/>
        <w:autoSpaceDE w:val="0"/>
        <w:autoSpaceDN w:val="0"/>
        <w:adjustRightInd w:val="0"/>
        <w:jc w:val="both"/>
        <w:outlineLvl w:val="3"/>
        <w:rPr>
          <w:rFonts w:ascii="Arial" w:eastAsia="Arial Unicode MS" w:hAnsi="Arial" w:cs="Arial"/>
          <w:b/>
          <w:snapToGrid w:val="0"/>
          <w:color w:val="000000"/>
          <w:sz w:val="22"/>
          <w:szCs w:val="22"/>
        </w:rPr>
      </w:pPr>
    </w:p>
    <w:p w:rsidR="00DC78E9" w:rsidRPr="002D5212" w:rsidRDefault="00E56C9A" w:rsidP="00DC78E9">
      <w:pPr>
        <w:autoSpaceDE w:val="0"/>
        <w:autoSpaceDN w:val="0"/>
        <w:adjustRightInd w:val="0"/>
        <w:jc w:val="both"/>
        <w:rPr>
          <w:rFonts w:ascii="Arial" w:eastAsia="Arial Unicode MS" w:hAnsi="Arial" w:cs="Arial"/>
          <w:color w:val="000000"/>
          <w:sz w:val="22"/>
          <w:szCs w:val="22"/>
        </w:rPr>
      </w:pPr>
      <w:r w:rsidRPr="002D5212">
        <w:rPr>
          <w:rFonts w:ascii="Arial" w:eastAsia="Arial Unicode MS" w:hAnsi="Arial" w:cs="Arial"/>
          <w:color w:val="000000"/>
          <w:sz w:val="22"/>
          <w:szCs w:val="22"/>
        </w:rPr>
        <w:t>The Director</w:t>
      </w:r>
      <w:r w:rsidRPr="002D5212">
        <w:rPr>
          <w:rFonts w:ascii="Arial" w:eastAsia="Arial Unicode MS" w:hAnsi="Arial" w:cs="Arial"/>
          <w:color w:val="000000"/>
          <w:sz w:val="22"/>
          <w:szCs w:val="22"/>
        </w:rPr>
        <w:t xml:space="preserve"> of Financial Resources to the Pension Fund is responsible for the preparation of the Pension Fund’s statement of accounts.  In accordance with the CIPFA Code of Practice on Local Authority Accounting in Great Britain (the Code), the statement is required </w:t>
      </w:r>
      <w:r w:rsidRPr="002D5212">
        <w:rPr>
          <w:rFonts w:ascii="Arial" w:eastAsia="Arial Unicode MS" w:hAnsi="Arial" w:cs="Arial"/>
          <w:color w:val="000000"/>
          <w:sz w:val="22"/>
          <w:szCs w:val="22"/>
        </w:rPr>
        <w:t>to present fairly the financial position of the Pension Fund at the accounting date, and its income and expenditure for the year then ended.</w:t>
      </w:r>
    </w:p>
    <w:p w:rsidR="00DC78E9" w:rsidRPr="002D5212" w:rsidRDefault="00E56C9A" w:rsidP="00DC78E9">
      <w:pPr>
        <w:autoSpaceDE w:val="0"/>
        <w:autoSpaceDN w:val="0"/>
        <w:adjustRightInd w:val="0"/>
        <w:jc w:val="both"/>
        <w:rPr>
          <w:rFonts w:ascii="Arial" w:eastAsia="Arial Unicode MS" w:hAnsi="Arial" w:cs="Arial"/>
          <w:color w:val="000000"/>
          <w:sz w:val="22"/>
          <w:szCs w:val="22"/>
        </w:rPr>
      </w:pPr>
    </w:p>
    <w:p w:rsidR="00DC78E9" w:rsidRPr="002D5212" w:rsidRDefault="00E56C9A" w:rsidP="00DC78E9">
      <w:pPr>
        <w:autoSpaceDE w:val="0"/>
        <w:autoSpaceDN w:val="0"/>
        <w:adjustRightInd w:val="0"/>
        <w:spacing w:after="120"/>
        <w:jc w:val="both"/>
        <w:rPr>
          <w:rFonts w:ascii="Arial" w:eastAsia="Arial Unicode MS" w:hAnsi="Arial" w:cs="Arial"/>
          <w:color w:val="000000"/>
          <w:sz w:val="22"/>
          <w:szCs w:val="22"/>
        </w:rPr>
      </w:pPr>
      <w:r w:rsidRPr="002D5212">
        <w:rPr>
          <w:rFonts w:ascii="Arial" w:eastAsia="Arial Unicode MS" w:hAnsi="Arial" w:cs="Arial"/>
          <w:color w:val="000000"/>
          <w:sz w:val="22"/>
          <w:szCs w:val="22"/>
        </w:rPr>
        <w:t>In preparing this statement of accounts, the Director of Financial Resources to the Pension Fund has:</w:t>
      </w:r>
    </w:p>
    <w:p w:rsidR="00DC78E9" w:rsidRPr="002D5212" w:rsidRDefault="00E56C9A" w:rsidP="00DC78E9">
      <w:pPr>
        <w:pStyle w:val="ListParagraph"/>
        <w:numPr>
          <w:ilvl w:val="0"/>
          <w:numId w:val="22"/>
        </w:numPr>
        <w:autoSpaceDE w:val="0"/>
        <w:autoSpaceDN w:val="0"/>
        <w:adjustRightInd w:val="0"/>
        <w:spacing w:after="120"/>
        <w:jc w:val="both"/>
        <w:rPr>
          <w:rFonts w:ascii="Arial" w:eastAsia="Arial Unicode MS" w:hAnsi="Arial" w:cs="Arial"/>
          <w:color w:val="000000"/>
          <w:sz w:val="22"/>
          <w:szCs w:val="22"/>
        </w:rPr>
      </w:pPr>
      <w:r w:rsidRPr="002D5212">
        <w:rPr>
          <w:rFonts w:ascii="Arial" w:eastAsia="Arial Unicode MS" w:hAnsi="Arial" w:cs="Arial"/>
          <w:color w:val="000000"/>
          <w:sz w:val="22"/>
          <w:szCs w:val="22"/>
        </w:rPr>
        <w:t>Selected sui</w:t>
      </w:r>
      <w:r w:rsidRPr="002D5212">
        <w:rPr>
          <w:rFonts w:ascii="Arial" w:eastAsia="Arial Unicode MS" w:hAnsi="Arial" w:cs="Arial"/>
          <w:color w:val="000000"/>
          <w:sz w:val="22"/>
          <w:szCs w:val="22"/>
        </w:rPr>
        <w:t>table accounting policies and then applied them consistently;</w:t>
      </w:r>
    </w:p>
    <w:p w:rsidR="00DC78E9" w:rsidRPr="002D5212" w:rsidRDefault="00E56C9A" w:rsidP="00DC78E9">
      <w:pPr>
        <w:pStyle w:val="ListParagraph"/>
        <w:numPr>
          <w:ilvl w:val="0"/>
          <w:numId w:val="22"/>
        </w:numPr>
        <w:autoSpaceDE w:val="0"/>
        <w:autoSpaceDN w:val="0"/>
        <w:adjustRightInd w:val="0"/>
        <w:spacing w:after="120"/>
        <w:jc w:val="both"/>
        <w:rPr>
          <w:rFonts w:ascii="Arial" w:eastAsia="Arial Unicode MS" w:hAnsi="Arial" w:cs="Arial"/>
          <w:color w:val="000000"/>
          <w:sz w:val="22"/>
          <w:szCs w:val="22"/>
        </w:rPr>
      </w:pPr>
      <w:r w:rsidRPr="002D5212">
        <w:rPr>
          <w:rFonts w:ascii="Arial" w:eastAsia="Arial Unicode MS" w:hAnsi="Arial" w:cs="Arial"/>
          <w:color w:val="000000"/>
          <w:sz w:val="22"/>
          <w:szCs w:val="22"/>
        </w:rPr>
        <w:t>Made judgements and estimates that were reasonable and prudent;</w:t>
      </w:r>
    </w:p>
    <w:p w:rsidR="00DC78E9" w:rsidRPr="002D5212" w:rsidRDefault="00E56C9A" w:rsidP="00DC78E9">
      <w:pPr>
        <w:pStyle w:val="ListParagraph"/>
        <w:numPr>
          <w:ilvl w:val="0"/>
          <w:numId w:val="22"/>
        </w:numPr>
        <w:autoSpaceDE w:val="0"/>
        <w:autoSpaceDN w:val="0"/>
        <w:adjustRightInd w:val="0"/>
        <w:spacing w:after="120"/>
        <w:jc w:val="both"/>
        <w:rPr>
          <w:rFonts w:ascii="Arial" w:eastAsia="Arial Unicode MS" w:hAnsi="Arial" w:cs="Arial"/>
          <w:color w:val="000000"/>
          <w:sz w:val="22"/>
          <w:szCs w:val="22"/>
        </w:rPr>
      </w:pPr>
      <w:r w:rsidRPr="002D5212">
        <w:rPr>
          <w:rFonts w:ascii="Arial" w:eastAsia="Arial Unicode MS" w:hAnsi="Arial" w:cs="Arial"/>
          <w:color w:val="000000"/>
          <w:sz w:val="22"/>
          <w:szCs w:val="22"/>
        </w:rPr>
        <w:t>Complied with the Code.</w:t>
      </w:r>
    </w:p>
    <w:p w:rsidR="00DC78E9" w:rsidRPr="002D5212" w:rsidRDefault="00E56C9A" w:rsidP="00DC78E9">
      <w:pPr>
        <w:autoSpaceDE w:val="0"/>
        <w:autoSpaceDN w:val="0"/>
        <w:adjustRightInd w:val="0"/>
        <w:jc w:val="both"/>
        <w:rPr>
          <w:rFonts w:ascii="Arial" w:eastAsia="Arial Unicode MS" w:hAnsi="Arial" w:cs="Arial"/>
          <w:color w:val="000000"/>
          <w:sz w:val="22"/>
          <w:szCs w:val="22"/>
        </w:rPr>
      </w:pPr>
    </w:p>
    <w:p w:rsidR="00DC78E9" w:rsidRPr="002D5212" w:rsidRDefault="00E56C9A" w:rsidP="00DC78E9">
      <w:pPr>
        <w:autoSpaceDE w:val="0"/>
        <w:autoSpaceDN w:val="0"/>
        <w:adjustRightInd w:val="0"/>
        <w:spacing w:after="120"/>
        <w:jc w:val="both"/>
        <w:rPr>
          <w:rFonts w:ascii="Arial" w:eastAsia="Arial Unicode MS" w:hAnsi="Arial" w:cs="Arial"/>
          <w:color w:val="000000"/>
          <w:sz w:val="22"/>
          <w:szCs w:val="22"/>
        </w:rPr>
      </w:pPr>
      <w:r w:rsidRPr="002D5212">
        <w:rPr>
          <w:rFonts w:ascii="Arial" w:eastAsia="Arial Unicode MS" w:hAnsi="Arial" w:cs="Arial"/>
          <w:color w:val="000000"/>
          <w:sz w:val="22"/>
          <w:szCs w:val="22"/>
        </w:rPr>
        <w:t>In addition, the Director of Financial Resources to the Pension Fund has:</w:t>
      </w:r>
    </w:p>
    <w:p w:rsidR="00DC78E9" w:rsidRPr="002D5212" w:rsidRDefault="00E56C9A" w:rsidP="00DC78E9">
      <w:pPr>
        <w:pStyle w:val="ListParagraph"/>
        <w:numPr>
          <w:ilvl w:val="0"/>
          <w:numId w:val="23"/>
        </w:numPr>
        <w:autoSpaceDE w:val="0"/>
        <w:autoSpaceDN w:val="0"/>
        <w:adjustRightInd w:val="0"/>
        <w:spacing w:after="120"/>
        <w:jc w:val="both"/>
        <w:rPr>
          <w:rFonts w:ascii="Arial" w:eastAsia="Arial Unicode MS" w:hAnsi="Arial" w:cs="Arial"/>
          <w:color w:val="000000"/>
          <w:sz w:val="22"/>
          <w:szCs w:val="22"/>
        </w:rPr>
      </w:pPr>
      <w:r w:rsidRPr="002D5212">
        <w:rPr>
          <w:rFonts w:ascii="Arial" w:eastAsia="Arial Unicode MS" w:hAnsi="Arial" w:cs="Arial"/>
          <w:color w:val="000000"/>
          <w:sz w:val="22"/>
          <w:szCs w:val="22"/>
        </w:rPr>
        <w:t xml:space="preserve">Kept proper accounting records </w:t>
      </w:r>
      <w:r w:rsidRPr="002D5212">
        <w:rPr>
          <w:rFonts w:ascii="Arial" w:eastAsia="Arial Unicode MS" w:hAnsi="Arial" w:cs="Arial"/>
          <w:color w:val="000000"/>
          <w:sz w:val="22"/>
          <w:szCs w:val="22"/>
        </w:rPr>
        <w:t>which were up to date;</w:t>
      </w:r>
    </w:p>
    <w:p w:rsidR="00DC78E9" w:rsidRPr="002D5212" w:rsidRDefault="00E56C9A" w:rsidP="00DC78E9">
      <w:pPr>
        <w:pStyle w:val="ListParagraph"/>
        <w:numPr>
          <w:ilvl w:val="0"/>
          <w:numId w:val="23"/>
        </w:numPr>
        <w:autoSpaceDE w:val="0"/>
        <w:autoSpaceDN w:val="0"/>
        <w:adjustRightInd w:val="0"/>
        <w:jc w:val="both"/>
        <w:rPr>
          <w:rFonts w:ascii="Arial" w:eastAsia="Arial Unicode MS" w:hAnsi="Arial" w:cs="Arial"/>
          <w:color w:val="000000"/>
          <w:sz w:val="22"/>
          <w:szCs w:val="22"/>
        </w:rPr>
      </w:pPr>
      <w:r w:rsidRPr="002D5212">
        <w:rPr>
          <w:rFonts w:ascii="Arial" w:eastAsia="Arial Unicode MS" w:hAnsi="Arial" w:cs="Arial"/>
          <w:color w:val="000000"/>
          <w:sz w:val="22"/>
          <w:szCs w:val="22"/>
        </w:rPr>
        <w:t>Taken responsible steps for the prevention and detection of fraud and other irregularities.</w:t>
      </w:r>
    </w:p>
    <w:p w:rsidR="00DC78E9" w:rsidRPr="002D5212" w:rsidRDefault="00E56C9A" w:rsidP="00DC78E9">
      <w:pPr>
        <w:pStyle w:val="ListParagraph"/>
        <w:autoSpaceDE w:val="0"/>
        <w:autoSpaceDN w:val="0"/>
        <w:adjustRightInd w:val="0"/>
        <w:jc w:val="both"/>
        <w:rPr>
          <w:rFonts w:ascii="Arial" w:eastAsia="Arial Unicode MS" w:hAnsi="Arial" w:cs="Arial"/>
          <w:color w:val="000000"/>
          <w:sz w:val="22"/>
          <w:szCs w:val="22"/>
        </w:rPr>
      </w:pPr>
    </w:p>
    <w:p w:rsidR="00DC78E9" w:rsidRPr="002D5212" w:rsidRDefault="00E56C9A" w:rsidP="00DC78E9">
      <w:pPr>
        <w:autoSpaceDE w:val="0"/>
        <w:autoSpaceDN w:val="0"/>
        <w:adjustRightInd w:val="0"/>
        <w:jc w:val="both"/>
        <w:rPr>
          <w:rFonts w:ascii="Arial" w:eastAsia="Arial Unicode MS" w:hAnsi="Arial" w:cs="Arial"/>
          <w:color w:val="000000"/>
          <w:sz w:val="22"/>
          <w:szCs w:val="22"/>
        </w:rPr>
      </w:pPr>
      <w:r w:rsidRPr="002D5212">
        <w:rPr>
          <w:rFonts w:ascii="Arial" w:eastAsia="Arial Unicode MS" w:hAnsi="Arial" w:cs="Arial"/>
          <w:color w:val="000000"/>
          <w:sz w:val="22"/>
          <w:szCs w:val="22"/>
        </w:rPr>
        <w:t>The Statement of Accounts relate to the financial year ended 31 March 2017 and include the Fund Account and the Statement of Net Assets whic</w:t>
      </w:r>
      <w:r w:rsidRPr="002D5212">
        <w:rPr>
          <w:rFonts w:ascii="Arial" w:eastAsia="Arial Unicode MS" w:hAnsi="Arial" w:cs="Arial"/>
          <w:color w:val="000000"/>
          <w:sz w:val="22"/>
          <w:szCs w:val="22"/>
        </w:rPr>
        <w:t>h are prepared in accordance with standard accounting practice as outlined in the notes to the accounts of the Pension Fund.</w:t>
      </w:r>
    </w:p>
    <w:p w:rsidR="00DC78E9" w:rsidRPr="002D5212" w:rsidRDefault="00E56C9A" w:rsidP="00DC78E9">
      <w:pPr>
        <w:autoSpaceDE w:val="0"/>
        <w:autoSpaceDN w:val="0"/>
        <w:adjustRightInd w:val="0"/>
        <w:jc w:val="both"/>
        <w:rPr>
          <w:rFonts w:ascii="Arial" w:eastAsia="Arial Unicode MS" w:hAnsi="Arial" w:cs="Arial"/>
          <w:color w:val="000000"/>
          <w:sz w:val="22"/>
          <w:szCs w:val="22"/>
        </w:rPr>
      </w:pPr>
    </w:p>
    <w:p w:rsidR="00DC78E9" w:rsidRPr="002D5212" w:rsidRDefault="00E56C9A" w:rsidP="00DC78E9">
      <w:pPr>
        <w:autoSpaceDE w:val="0"/>
        <w:autoSpaceDN w:val="0"/>
        <w:adjustRightInd w:val="0"/>
        <w:jc w:val="both"/>
        <w:rPr>
          <w:rFonts w:ascii="Arial" w:eastAsia="Arial Unicode MS" w:hAnsi="Arial" w:cs="Arial"/>
          <w:color w:val="000000"/>
          <w:sz w:val="22"/>
          <w:szCs w:val="22"/>
        </w:rPr>
      </w:pPr>
    </w:p>
    <w:p w:rsidR="00DC78E9" w:rsidRPr="002D5212" w:rsidRDefault="00E56C9A" w:rsidP="00DC78E9">
      <w:pPr>
        <w:autoSpaceDE w:val="0"/>
        <w:autoSpaceDN w:val="0"/>
        <w:adjustRightInd w:val="0"/>
        <w:jc w:val="both"/>
        <w:rPr>
          <w:rFonts w:ascii="Arial" w:eastAsia="Arial Unicode MS" w:hAnsi="Arial" w:cs="Arial"/>
          <w:color w:val="000000"/>
          <w:sz w:val="22"/>
          <w:szCs w:val="22"/>
        </w:rPr>
      </w:pPr>
    </w:p>
    <w:p w:rsidR="00DC78E9" w:rsidRPr="002D5212" w:rsidRDefault="00E56C9A" w:rsidP="00DC78E9">
      <w:pPr>
        <w:autoSpaceDE w:val="0"/>
        <w:autoSpaceDN w:val="0"/>
        <w:adjustRightInd w:val="0"/>
        <w:jc w:val="both"/>
        <w:rPr>
          <w:rFonts w:ascii="Arial" w:eastAsia="Arial Unicode MS" w:hAnsi="Arial" w:cs="Arial"/>
          <w:color w:val="000000"/>
          <w:sz w:val="22"/>
          <w:szCs w:val="22"/>
        </w:rPr>
      </w:pPr>
    </w:p>
    <w:p w:rsidR="00DC78E9" w:rsidRPr="002D5212" w:rsidRDefault="00E56C9A" w:rsidP="00DC78E9">
      <w:pPr>
        <w:autoSpaceDE w:val="0"/>
        <w:autoSpaceDN w:val="0"/>
        <w:adjustRightInd w:val="0"/>
        <w:jc w:val="both"/>
        <w:rPr>
          <w:rFonts w:ascii="Arial" w:eastAsia="Arial Unicode MS" w:hAnsi="Arial" w:cs="Arial"/>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r w:rsidRPr="002D5212">
        <w:rPr>
          <w:rFonts w:ascii="Arial" w:eastAsia="Arial Unicode MS" w:hAnsi="Arial" w:cs="Arial"/>
          <w:b/>
          <w:color w:val="000000"/>
          <w:sz w:val="22"/>
          <w:szCs w:val="22"/>
        </w:rPr>
        <w:t>Neil Kissock</w:t>
      </w:r>
    </w:p>
    <w:p w:rsidR="00DC78E9" w:rsidRPr="002D5212" w:rsidRDefault="00E56C9A" w:rsidP="00DC78E9">
      <w:pPr>
        <w:autoSpaceDE w:val="0"/>
        <w:autoSpaceDN w:val="0"/>
        <w:adjustRightInd w:val="0"/>
        <w:jc w:val="both"/>
        <w:rPr>
          <w:rFonts w:ascii="Arial" w:eastAsia="Arial Unicode MS" w:hAnsi="Arial" w:cs="Arial"/>
        </w:rPr>
      </w:pPr>
      <w:r w:rsidRPr="002D5212">
        <w:rPr>
          <w:rFonts w:ascii="Arial" w:eastAsia="Arial Unicode MS" w:hAnsi="Arial" w:cs="Arial"/>
          <w:b/>
          <w:color w:val="000000"/>
          <w:sz w:val="22"/>
          <w:szCs w:val="22"/>
        </w:rPr>
        <w:t>Director of Financial Resources</w:t>
      </w: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r w:rsidRPr="002D5212">
        <w:rPr>
          <w:rFonts w:ascii="Arial" w:eastAsia="Arial Unicode MS" w:hAnsi="Arial" w:cs="Arial"/>
          <w:b/>
          <w:color w:val="000000"/>
          <w:sz w:val="22"/>
          <w:szCs w:val="22"/>
        </w:rPr>
        <w:t>31 July 2017</w:t>
      </w: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CD01CC" w:rsidRDefault="00E56C9A" w:rsidP="00DC78E9">
      <w:pPr>
        <w:autoSpaceDE w:val="0"/>
        <w:autoSpaceDN w:val="0"/>
        <w:adjustRightInd w:val="0"/>
        <w:jc w:val="both"/>
        <w:rPr>
          <w:rFonts w:ascii="Arial" w:eastAsia="Arial Unicode MS" w:hAnsi="Arial" w:cs="Arial"/>
          <w:b/>
          <w:color w:val="000000"/>
          <w:sz w:val="32"/>
          <w:szCs w:val="32"/>
        </w:rPr>
      </w:pPr>
      <w:r w:rsidRPr="00CD01CC">
        <w:rPr>
          <w:rFonts w:ascii="Arial" w:eastAsia="Arial Unicode MS" w:hAnsi="Arial" w:cs="Arial"/>
          <w:b/>
          <w:color w:val="000000"/>
          <w:sz w:val="32"/>
          <w:szCs w:val="32"/>
        </w:rPr>
        <w:t>ANNUAL GOVERNANCE STATEMENT 2016/17</w:t>
      </w: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r>
        <w:rPr>
          <w:rFonts w:ascii="Arial" w:eastAsia="Arial Unicode MS" w:hAnsi="Arial" w:cs="Arial"/>
          <w:b/>
          <w:color w:val="000000"/>
          <w:sz w:val="22"/>
          <w:szCs w:val="22"/>
        </w:rPr>
        <w:t>[</w:t>
      </w:r>
      <w:proofErr w:type="gramStart"/>
      <w:r>
        <w:rPr>
          <w:rFonts w:ascii="Arial" w:eastAsia="Arial Unicode MS" w:hAnsi="Arial" w:cs="Arial"/>
          <w:b/>
          <w:color w:val="000000"/>
          <w:sz w:val="22"/>
          <w:szCs w:val="22"/>
        </w:rPr>
        <w:t>the</w:t>
      </w:r>
      <w:proofErr w:type="gramEnd"/>
      <w:r>
        <w:rPr>
          <w:rFonts w:ascii="Arial" w:eastAsia="Arial Unicode MS" w:hAnsi="Arial" w:cs="Arial"/>
          <w:b/>
          <w:color w:val="000000"/>
          <w:sz w:val="22"/>
          <w:szCs w:val="22"/>
        </w:rPr>
        <w:t xml:space="preserve"> published </w:t>
      </w:r>
      <w:r>
        <w:rPr>
          <w:rFonts w:ascii="Arial" w:eastAsia="Arial Unicode MS" w:hAnsi="Arial" w:cs="Arial"/>
          <w:b/>
          <w:color w:val="000000"/>
          <w:sz w:val="22"/>
          <w:szCs w:val="22"/>
        </w:rPr>
        <w:t>version will include the 2016/17 annual governance statement here]</w:t>
      </w: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DC78E9" w:rsidRPr="002D5212" w:rsidRDefault="00E56C9A" w:rsidP="00DC78E9">
      <w:pPr>
        <w:autoSpaceDE w:val="0"/>
        <w:autoSpaceDN w:val="0"/>
        <w:adjustRightInd w:val="0"/>
        <w:jc w:val="both"/>
        <w:rPr>
          <w:rFonts w:ascii="Arial" w:eastAsia="Arial Unicode MS" w:hAnsi="Arial" w:cs="Arial"/>
          <w:b/>
          <w:color w:val="000000"/>
          <w:sz w:val="22"/>
          <w:szCs w:val="22"/>
        </w:rPr>
      </w:pPr>
    </w:p>
    <w:p w:rsidR="00105290" w:rsidRPr="002D5212" w:rsidRDefault="00E56C9A" w:rsidP="00DC78E9">
      <w:pPr>
        <w:autoSpaceDE w:val="0"/>
        <w:autoSpaceDN w:val="0"/>
        <w:adjustRightInd w:val="0"/>
        <w:jc w:val="both"/>
        <w:rPr>
          <w:rFonts w:ascii="Arial" w:eastAsia="Arial Unicode MS" w:hAnsi="Arial" w:cs="Arial"/>
          <w:b/>
          <w:color w:val="000000"/>
          <w:sz w:val="32"/>
          <w:szCs w:val="22"/>
        </w:rPr>
      </w:pPr>
    </w:p>
    <w:p w:rsidR="00DC78E9" w:rsidRPr="00E330E6" w:rsidRDefault="00E56C9A" w:rsidP="00DC78E9">
      <w:pPr>
        <w:autoSpaceDE w:val="0"/>
        <w:autoSpaceDN w:val="0"/>
        <w:adjustRightInd w:val="0"/>
        <w:jc w:val="both"/>
        <w:rPr>
          <w:rFonts w:ascii="Arial" w:eastAsia="Arial Unicode MS" w:hAnsi="Arial" w:cs="Arial"/>
          <w:color w:val="000000"/>
          <w:sz w:val="22"/>
          <w:szCs w:val="22"/>
        </w:rPr>
      </w:pPr>
      <w:bookmarkStart w:id="0" w:name="Independent_Audit"/>
      <w:bookmarkEnd w:id="0"/>
      <w:r w:rsidRPr="00E330E6">
        <w:rPr>
          <w:rFonts w:ascii="Arial" w:eastAsia="Arial Unicode MS" w:hAnsi="Arial" w:cs="Arial"/>
          <w:color w:val="000000"/>
          <w:sz w:val="22"/>
          <w:szCs w:val="22"/>
        </w:rPr>
        <w:br w:type="page"/>
      </w:r>
      <w:bookmarkStart w:id="1" w:name="Responsibilities"/>
      <w:bookmarkStart w:id="2" w:name="Annual_Governance"/>
      <w:bookmarkEnd w:id="1"/>
      <w:bookmarkEnd w:id="2"/>
    </w:p>
    <w:p w:rsidR="00DC78E9" w:rsidRPr="00E330E6" w:rsidRDefault="00E56C9A" w:rsidP="00DC78E9">
      <w:pPr>
        <w:keepNext/>
        <w:autoSpaceDE w:val="0"/>
        <w:autoSpaceDN w:val="0"/>
        <w:adjustRightInd w:val="0"/>
        <w:jc w:val="both"/>
        <w:outlineLvl w:val="0"/>
        <w:rPr>
          <w:rFonts w:ascii="Arial" w:eastAsia="Arial Unicode MS" w:hAnsi="Arial" w:cs="Arial"/>
          <w:b/>
          <w:bCs/>
          <w:sz w:val="28"/>
          <w:szCs w:val="22"/>
          <w:lang w:eastAsia="en-GB"/>
        </w:rPr>
      </w:pPr>
      <w:r w:rsidRPr="00E330E6">
        <w:rPr>
          <w:rFonts w:ascii="Arial" w:eastAsia="Arial Unicode MS" w:hAnsi="Arial" w:cs="Arial"/>
          <w:b/>
          <w:bCs/>
          <w:sz w:val="28"/>
          <w:szCs w:val="22"/>
          <w:lang w:eastAsia="en-GB"/>
        </w:rPr>
        <w:lastRenderedPageBreak/>
        <w:t>Independent auditor’s statement to the members of Lancashire County Council on the Pension Fund financial statements included in the Pension Fund annual report</w:t>
      </w:r>
    </w:p>
    <w:p w:rsidR="00DC78E9" w:rsidRPr="00E330E6" w:rsidRDefault="00E56C9A" w:rsidP="00DC78E9">
      <w:pPr>
        <w:keepNext/>
        <w:autoSpaceDE w:val="0"/>
        <w:autoSpaceDN w:val="0"/>
        <w:adjustRightInd w:val="0"/>
        <w:jc w:val="both"/>
        <w:outlineLvl w:val="0"/>
        <w:rPr>
          <w:rFonts w:ascii="Arial" w:eastAsia="Arial Unicode MS" w:hAnsi="Arial" w:cs="Arial"/>
          <w:bCs/>
          <w:sz w:val="22"/>
          <w:szCs w:val="22"/>
          <w:highlight w:val="magenta"/>
          <w:lang w:eastAsia="en-GB"/>
        </w:rPr>
      </w:pPr>
    </w:p>
    <w:p w:rsidR="00DC78E9" w:rsidRPr="00E330E6" w:rsidRDefault="00E56C9A" w:rsidP="00DC78E9">
      <w:pPr>
        <w:pStyle w:val="NormalWeb"/>
        <w:spacing w:before="0" w:beforeAutospacing="0" w:after="0" w:afterAutospacing="0"/>
        <w:jc w:val="both"/>
        <w:rPr>
          <w:rFonts w:ascii="Arial" w:eastAsia="Arial Unicode MS" w:hAnsi="Arial" w:cs="Arial"/>
          <w:color w:val="000000"/>
          <w:kern w:val="24"/>
          <w:sz w:val="22"/>
          <w:szCs w:val="22"/>
        </w:rPr>
      </w:pPr>
      <w:r w:rsidRPr="00E330E6">
        <w:rPr>
          <w:rFonts w:ascii="Arial" w:eastAsia="Arial Unicode MS" w:hAnsi="Arial" w:cs="Arial"/>
          <w:color w:val="000000"/>
          <w:kern w:val="24"/>
          <w:sz w:val="22"/>
          <w:szCs w:val="22"/>
          <w:highlight w:val="yellow"/>
        </w:rPr>
        <w:t xml:space="preserve">The published </w:t>
      </w:r>
      <w:r w:rsidRPr="00E330E6">
        <w:rPr>
          <w:rFonts w:ascii="Arial" w:eastAsia="Arial Unicode MS" w:hAnsi="Arial" w:cs="Arial"/>
          <w:color w:val="000000"/>
          <w:kern w:val="24"/>
          <w:sz w:val="22"/>
          <w:szCs w:val="22"/>
          <w:highlight w:val="yellow"/>
        </w:rPr>
        <w:t>version will include the Audit Certification on this page.</w:t>
      </w: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FF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CF7BAD"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E330E6"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pStyle w:val="NormalWeb"/>
        <w:spacing w:before="0" w:beforeAutospacing="0" w:after="0" w:afterAutospacing="0"/>
        <w:jc w:val="both"/>
        <w:rPr>
          <w:rFonts w:ascii="Arial" w:eastAsia="Arial Unicode MS" w:hAnsi="Arial" w:cs="Arial"/>
          <w:color w:val="000000"/>
          <w:kern w:val="24"/>
          <w:sz w:val="22"/>
          <w:szCs w:val="22"/>
        </w:rPr>
      </w:pPr>
      <w:r w:rsidRPr="00E330E6">
        <w:rPr>
          <w:rFonts w:ascii="Arial" w:eastAsia="Arial Unicode MS" w:hAnsi="Arial" w:cs="Arial"/>
          <w:color w:val="000000"/>
          <w:kern w:val="24"/>
          <w:sz w:val="22"/>
          <w:szCs w:val="22"/>
          <w:highlight w:val="yellow"/>
        </w:rPr>
        <w:t>The published version will include the Audit Certification on this page.</w:t>
      </w: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CF7BAD"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Default="00E56C9A" w:rsidP="00DC78E9">
      <w:pPr>
        <w:autoSpaceDE w:val="0"/>
        <w:autoSpaceDN w:val="0"/>
        <w:adjustRightInd w:val="0"/>
        <w:jc w:val="both"/>
        <w:rPr>
          <w:rFonts w:ascii="Arial" w:eastAsia="Arial Unicode MS" w:hAnsi="Arial" w:cs="Arial"/>
          <w:b/>
          <w:bCs/>
          <w:color w:val="000000"/>
          <w:sz w:val="28"/>
          <w:szCs w:val="22"/>
        </w:rPr>
      </w:pPr>
    </w:p>
    <w:p w:rsidR="00CD01CC"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28"/>
          <w:szCs w:val="22"/>
        </w:rPr>
      </w:pPr>
    </w:p>
    <w:p w:rsidR="00DC78E9" w:rsidRPr="00F83792" w:rsidRDefault="00E56C9A" w:rsidP="00DC78E9">
      <w:pPr>
        <w:autoSpaceDE w:val="0"/>
        <w:autoSpaceDN w:val="0"/>
        <w:adjustRightInd w:val="0"/>
        <w:jc w:val="both"/>
        <w:rPr>
          <w:rFonts w:ascii="Arial" w:eastAsia="Arial Unicode MS" w:hAnsi="Arial" w:cs="Arial"/>
          <w:b/>
          <w:bCs/>
          <w:color w:val="000000"/>
          <w:sz w:val="32"/>
          <w:szCs w:val="22"/>
        </w:rPr>
      </w:pPr>
      <w:r w:rsidRPr="00F83792">
        <w:rPr>
          <w:rFonts w:ascii="Arial" w:eastAsia="Arial Unicode MS" w:hAnsi="Arial" w:cs="Arial"/>
          <w:b/>
          <w:bCs/>
          <w:color w:val="000000"/>
          <w:sz w:val="32"/>
          <w:szCs w:val="22"/>
        </w:rPr>
        <w:lastRenderedPageBreak/>
        <w:t>LANCASHIRE COUNTY PENSION</w:t>
      </w:r>
      <w:r w:rsidRPr="00F83792">
        <w:rPr>
          <w:rFonts w:ascii="Arial" w:eastAsia="Arial Unicode MS" w:hAnsi="Arial" w:cs="Arial"/>
          <w:color w:val="000000"/>
          <w:sz w:val="32"/>
          <w:szCs w:val="22"/>
        </w:rPr>
        <w:t xml:space="preserve"> </w:t>
      </w:r>
      <w:r w:rsidRPr="00F83792">
        <w:rPr>
          <w:rFonts w:ascii="Arial" w:eastAsia="Arial Unicode MS" w:hAnsi="Arial" w:cs="Arial"/>
          <w:b/>
          <w:bCs/>
          <w:color w:val="000000"/>
          <w:sz w:val="32"/>
          <w:szCs w:val="22"/>
        </w:rPr>
        <w:t xml:space="preserve">FUND </w:t>
      </w:r>
    </w:p>
    <w:p w:rsidR="00DC78E9" w:rsidRPr="00F83792" w:rsidRDefault="00E56C9A" w:rsidP="00DC78E9">
      <w:pPr>
        <w:autoSpaceDE w:val="0"/>
        <w:autoSpaceDN w:val="0"/>
        <w:adjustRightInd w:val="0"/>
        <w:jc w:val="both"/>
        <w:rPr>
          <w:rFonts w:ascii="Arial" w:eastAsia="Arial Unicode MS" w:hAnsi="Arial" w:cs="Arial"/>
          <w:b/>
          <w:bCs/>
          <w:color w:val="000000"/>
          <w:sz w:val="22"/>
          <w:szCs w:val="22"/>
        </w:rPr>
      </w:pPr>
    </w:p>
    <w:p w:rsidR="00B71239" w:rsidRPr="00F83792" w:rsidRDefault="00E56C9A" w:rsidP="00B71239">
      <w:pPr>
        <w:keepNext/>
        <w:autoSpaceDE w:val="0"/>
        <w:autoSpaceDN w:val="0"/>
        <w:adjustRightInd w:val="0"/>
        <w:jc w:val="both"/>
        <w:outlineLvl w:val="4"/>
        <w:rPr>
          <w:rFonts w:ascii="Arial" w:eastAsia="Arial Unicode MS" w:hAnsi="Arial" w:cs="Arial"/>
          <w:b/>
          <w:color w:val="000000"/>
          <w:sz w:val="22"/>
          <w:szCs w:val="22"/>
        </w:rPr>
      </w:pPr>
      <w:r w:rsidRPr="00F83792">
        <w:rPr>
          <w:rFonts w:ascii="Arial" w:eastAsia="Arial Unicode MS" w:hAnsi="Arial" w:cs="Arial"/>
          <w:b/>
          <w:bCs/>
          <w:color w:val="000000"/>
          <w:sz w:val="32"/>
          <w:szCs w:val="22"/>
        </w:rPr>
        <w:t xml:space="preserve">Fund </w:t>
      </w:r>
      <w:r w:rsidRPr="00F83792">
        <w:rPr>
          <w:rFonts w:ascii="Arial" w:eastAsia="Arial Unicode MS" w:hAnsi="Arial" w:cs="Arial"/>
          <w:b/>
          <w:bCs/>
          <w:color w:val="000000"/>
          <w:sz w:val="32"/>
          <w:szCs w:val="22"/>
        </w:rPr>
        <w:t>account</w:t>
      </w: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843"/>
        <w:gridCol w:w="5245"/>
        <w:gridCol w:w="709"/>
        <w:gridCol w:w="1842"/>
      </w:tblGrid>
      <w:tr w:rsidR="00B368D6" w:rsidTr="00CF7BAD">
        <w:trPr>
          <w:trHeight w:val="264"/>
        </w:trPr>
        <w:tc>
          <w:tcPr>
            <w:tcW w:w="1843" w:type="dxa"/>
            <w:shd w:val="clear" w:color="auto" w:fill="E7E6E6" w:themeFill="background2"/>
          </w:tcPr>
          <w:p w:rsidR="00B71239" w:rsidRPr="00F83792" w:rsidRDefault="00E56C9A" w:rsidP="00CD01CC">
            <w:pPr>
              <w:tabs>
                <w:tab w:val="left" w:pos="719"/>
                <w:tab w:val="left" w:pos="2160"/>
                <w:tab w:val="left" w:pos="6885"/>
              </w:tabs>
              <w:spacing w:after="60"/>
              <w:jc w:val="right"/>
              <w:rPr>
                <w:rFonts w:ascii="Arial" w:eastAsia="Arial Unicode MS" w:hAnsi="Arial" w:cs="Arial"/>
                <w:b/>
                <w:sz w:val="20"/>
                <w:szCs w:val="20"/>
              </w:rPr>
            </w:pPr>
            <w:r w:rsidRPr="00F83792">
              <w:rPr>
                <w:rFonts w:ascii="Arial" w:eastAsia="Arial Unicode MS" w:hAnsi="Arial" w:cs="Arial"/>
                <w:b/>
                <w:sz w:val="20"/>
                <w:szCs w:val="20"/>
              </w:rPr>
              <w:t>2015/16</w:t>
            </w:r>
          </w:p>
        </w:tc>
        <w:tc>
          <w:tcPr>
            <w:tcW w:w="5245" w:type="dxa"/>
            <w:tcBorders>
              <w:bottom w:val="nil"/>
            </w:tcBorders>
            <w:shd w:val="clear" w:color="auto" w:fill="E7E6E6" w:themeFill="background2"/>
          </w:tcPr>
          <w:p w:rsidR="00B71239" w:rsidRPr="00F83792" w:rsidRDefault="00E56C9A" w:rsidP="00CF7BAD">
            <w:pPr>
              <w:jc w:val="center"/>
              <w:rPr>
                <w:rFonts w:ascii="Arial" w:eastAsia="Arial Unicode MS" w:hAnsi="Arial" w:cs="Arial"/>
                <w:b/>
                <w:sz w:val="20"/>
                <w:szCs w:val="20"/>
              </w:rPr>
            </w:pPr>
          </w:p>
        </w:tc>
        <w:tc>
          <w:tcPr>
            <w:tcW w:w="709" w:type="dxa"/>
            <w:tcBorders>
              <w:bottom w:val="nil"/>
            </w:tcBorders>
            <w:shd w:val="clear" w:color="auto" w:fill="E7E6E6" w:themeFill="background2"/>
          </w:tcPr>
          <w:p w:rsidR="00B71239" w:rsidRPr="00F83792" w:rsidRDefault="00E56C9A" w:rsidP="00CF7BAD">
            <w:pPr>
              <w:tabs>
                <w:tab w:val="left" w:pos="717"/>
                <w:tab w:val="left" w:pos="2160"/>
                <w:tab w:val="left" w:pos="6885"/>
              </w:tabs>
              <w:spacing w:after="60"/>
              <w:jc w:val="center"/>
              <w:rPr>
                <w:rFonts w:ascii="Arial" w:eastAsia="Arial Unicode MS" w:hAnsi="Arial" w:cs="Arial"/>
                <w:b/>
                <w:sz w:val="20"/>
                <w:szCs w:val="20"/>
              </w:rPr>
            </w:pPr>
            <w:r w:rsidRPr="00F83792">
              <w:rPr>
                <w:rFonts w:ascii="Arial" w:eastAsia="Arial Unicode MS" w:hAnsi="Arial" w:cs="Arial"/>
                <w:b/>
                <w:sz w:val="20"/>
                <w:szCs w:val="20"/>
              </w:rPr>
              <w:t>Note</w:t>
            </w:r>
          </w:p>
        </w:tc>
        <w:tc>
          <w:tcPr>
            <w:tcW w:w="1842" w:type="dxa"/>
            <w:shd w:val="clear" w:color="auto" w:fill="E7E6E6" w:themeFill="background2"/>
          </w:tcPr>
          <w:p w:rsidR="00B71239" w:rsidRPr="00F83792" w:rsidRDefault="00E56C9A" w:rsidP="00CD01CC">
            <w:pPr>
              <w:tabs>
                <w:tab w:val="left" w:pos="719"/>
                <w:tab w:val="left" w:pos="2160"/>
                <w:tab w:val="left" w:pos="6885"/>
              </w:tabs>
              <w:spacing w:after="60"/>
              <w:jc w:val="right"/>
              <w:rPr>
                <w:rFonts w:ascii="Arial" w:eastAsia="Arial Unicode MS" w:hAnsi="Arial" w:cs="Arial"/>
                <w:b/>
                <w:sz w:val="20"/>
                <w:szCs w:val="20"/>
              </w:rPr>
            </w:pPr>
            <w:r w:rsidRPr="00F83792">
              <w:rPr>
                <w:rFonts w:ascii="Arial" w:eastAsia="Arial Unicode MS" w:hAnsi="Arial" w:cs="Arial"/>
                <w:b/>
                <w:sz w:val="20"/>
                <w:szCs w:val="20"/>
              </w:rPr>
              <w:t>2016/17</w:t>
            </w:r>
          </w:p>
        </w:tc>
      </w:tr>
      <w:tr w:rsidR="00B368D6" w:rsidTr="00CF7BAD">
        <w:trPr>
          <w:trHeight w:val="264"/>
        </w:trPr>
        <w:tc>
          <w:tcPr>
            <w:tcW w:w="1843" w:type="dxa"/>
            <w:shd w:val="clear" w:color="auto" w:fill="E7E6E6" w:themeFill="background2"/>
          </w:tcPr>
          <w:p w:rsidR="00B71239" w:rsidRPr="00F83792" w:rsidRDefault="00E56C9A" w:rsidP="00CF7BAD">
            <w:pPr>
              <w:tabs>
                <w:tab w:val="left" w:pos="719"/>
                <w:tab w:val="left" w:pos="2160"/>
                <w:tab w:val="left" w:pos="6885"/>
              </w:tabs>
              <w:spacing w:after="60"/>
              <w:jc w:val="right"/>
              <w:rPr>
                <w:rFonts w:ascii="Arial" w:eastAsia="Arial Unicode MS" w:hAnsi="Arial" w:cs="Arial"/>
                <w:b/>
                <w:sz w:val="20"/>
                <w:szCs w:val="20"/>
              </w:rPr>
            </w:pPr>
            <w:r w:rsidRPr="00F83792">
              <w:rPr>
                <w:rFonts w:ascii="Arial" w:eastAsia="Arial Unicode MS" w:hAnsi="Arial" w:cs="Arial"/>
                <w:b/>
                <w:sz w:val="20"/>
                <w:szCs w:val="20"/>
              </w:rPr>
              <w:t>£m</w:t>
            </w:r>
          </w:p>
        </w:tc>
        <w:tc>
          <w:tcPr>
            <w:tcW w:w="5245" w:type="dxa"/>
            <w:tcBorders>
              <w:top w:val="nil"/>
            </w:tcBorders>
            <w:shd w:val="clear" w:color="auto" w:fill="E7E6E6" w:themeFill="background2"/>
          </w:tcPr>
          <w:p w:rsidR="00B71239" w:rsidRPr="00F83792" w:rsidRDefault="00E56C9A" w:rsidP="00CF7BAD">
            <w:pPr>
              <w:jc w:val="center"/>
              <w:rPr>
                <w:rFonts w:ascii="Arial" w:eastAsia="Arial Unicode MS" w:hAnsi="Arial" w:cs="Arial"/>
                <w:b/>
                <w:sz w:val="20"/>
                <w:szCs w:val="20"/>
              </w:rPr>
            </w:pPr>
          </w:p>
        </w:tc>
        <w:tc>
          <w:tcPr>
            <w:tcW w:w="709" w:type="dxa"/>
            <w:tcBorders>
              <w:top w:val="nil"/>
            </w:tcBorders>
            <w:shd w:val="clear" w:color="auto" w:fill="E7E6E6" w:themeFill="background2"/>
          </w:tcPr>
          <w:p w:rsidR="00B71239" w:rsidRPr="00F83792" w:rsidRDefault="00E56C9A" w:rsidP="00CF7BAD">
            <w:pPr>
              <w:tabs>
                <w:tab w:val="left" w:pos="717"/>
                <w:tab w:val="left" w:pos="2160"/>
                <w:tab w:val="left" w:pos="6885"/>
              </w:tabs>
              <w:spacing w:after="60"/>
              <w:jc w:val="center"/>
              <w:rPr>
                <w:rFonts w:ascii="Arial" w:eastAsia="Arial Unicode MS" w:hAnsi="Arial" w:cs="Arial"/>
                <w:b/>
                <w:sz w:val="20"/>
                <w:szCs w:val="20"/>
              </w:rPr>
            </w:pPr>
          </w:p>
        </w:tc>
        <w:tc>
          <w:tcPr>
            <w:tcW w:w="1842" w:type="dxa"/>
            <w:shd w:val="clear" w:color="auto" w:fill="E7E6E6" w:themeFill="background2"/>
          </w:tcPr>
          <w:p w:rsidR="00B71239" w:rsidRPr="00F83792" w:rsidRDefault="00E56C9A" w:rsidP="00CF7BAD">
            <w:pPr>
              <w:tabs>
                <w:tab w:val="left" w:pos="719"/>
                <w:tab w:val="left" w:pos="2160"/>
                <w:tab w:val="left" w:pos="6885"/>
              </w:tabs>
              <w:spacing w:after="60"/>
              <w:jc w:val="right"/>
              <w:rPr>
                <w:rFonts w:ascii="Arial" w:eastAsia="Arial Unicode MS" w:hAnsi="Arial" w:cs="Arial"/>
                <w:b/>
                <w:sz w:val="20"/>
                <w:szCs w:val="20"/>
              </w:rPr>
            </w:pPr>
            <w:r w:rsidRPr="00F83792">
              <w:rPr>
                <w:rFonts w:ascii="Arial" w:eastAsia="Arial Unicode MS" w:hAnsi="Arial" w:cs="Arial"/>
                <w:b/>
                <w:sz w:val="20"/>
                <w:szCs w:val="20"/>
              </w:rPr>
              <w:t>£m</w:t>
            </w:r>
          </w:p>
        </w:tc>
      </w:tr>
      <w:tr w:rsidR="00B368D6" w:rsidTr="00CF7BAD">
        <w:trPr>
          <w:trHeight w:val="431"/>
        </w:trPr>
        <w:tc>
          <w:tcPr>
            <w:tcW w:w="1843" w:type="dxa"/>
            <w:shd w:val="clear" w:color="auto" w:fill="E7E6E6" w:themeFill="background2"/>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p>
        </w:tc>
        <w:tc>
          <w:tcPr>
            <w:tcW w:w="5245" w:type="dxa"/>
            <w:shd w:val="clear" w:color="auto" w:fill="E7E6E6" w:themeFill="background2"/>
            <w:vAlign w:val="center"/>
          </w:tcPr>
          <w:p w:rsidR="00B71239" w:rsidRPr="00F83792" w:rsidRDefault="00E56C9A" w:rsidP="00CF7BAD">
            <w:pPr>
              <w:rPr>
                <w:rFonts w:ascii="Arial" w:eastAsia="Arial Unicode MS" w:hAnsi="Arial" w:cs="Arial"/>
                <w:sz w:val="20"/>
                <w:szCs w:val="20"/>
              </w:rPr>
            </w:pPr>
            <w:r w:rsidRPr="00F83792">
              <w:rPr>
                <w:rFonts w:ascii="Arial" w:eastAsia="Arial Unicode MS" w:hAnsi="Arial" w:cs="Arial"/>
                <w:b/>
                <w:color w:val="000000"/>
                <w:sz w:val="20"/>
                <w:szCs w:val="20"/>
              </w:rPr>
              <w:t>Dealing with members, employers and others directly involved in the Fund</w:t>
            </w:r>
          </w:p>
        </w:tc>
        <w:tc>
          <w:tcPr>
            <w:tcW w:w="709" w:type="dxa"/>
            <w:shd w:val="clear" w:color="auto" w:fill="E7E6E6" w:themeFill="background2"/>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p>
        </w:tc>
        <w:tc>
          <w:tcPr>
            <w:tcW w:w="1842" w:type="dxa"/>
            <w:shd w:val="clear" w:color="auto" w:fill="E7E6E6" w:themeFill="background2"/>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p>
        </w:tc>
      </w:tr>
      <w:tr w:rsidR="00B368D6" w:rsidTr="00CF7BAD">
        <w:trPr>
          <w:trHeight w:val="431"/>
        </w:trPr>
        <w:tc>
          <w:tcPr>
            <w:tcW w:w="1843" w:type="dxa"/>
            <w:vAlign w:val="center"/>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color w:val="000000"/>
                <w:sz w:val="20"/>
                <w:szCs w:val="20"/>
              </w:rPr>
              <w:t>238.6</w:t>
            </w:r>
          </w:p>
        </w:tc>
        <w:tc>
          <w:tcPr>
            <w:tcW w:w="5245" w:type="dxa"/>
            <w:vAlign w:val="center"/>
          </w:tcPr>
          <w:p w:rsidR="00B71239" w:rsidRPr="00F83792" w:rsidRDefault="00E56C9A" w:rsidP="00CF7BAD">
            <w:pPr>
              <w:tabs>
                <w:tab w:val="left" w:pos="2160"/>
                <w:tab w:val="left" w:pos="6885"/>
              </w:tabs>
              <w:spacing w:after="60"/>
              <w:rPr>
                <w:rFonts w:ascii="Arial" w:eastAsia="Arial Unicode MS" w:hAnsi="Arial" w:cs="Arial"/>
                <w:sz w:val="20"/>
                <w:szCs w:val="20"/>
              </w:rPr>
            </w:pPr>
            <w:r w:rsidRPr="00F83792">
              <w:rPr>
                <w:rFonts w:ascii="Arial" w:eastAsia="Arial Unicode MS" w:hAnsi="Arial" w:cs="Arial"/>
                <w:color w:val="000000"/>
                <w:sz w:val="20"/>
                <w:szCs w:val="20"/>
              </w:rPr>
              <w:t>Contributions</w:t>
            </w:r>
          </w:p>
        </w:tc>
        <w:tc>
          <w:tcPr>
            <w:tcW w:w="709" w:type="dxa"/>
            <w:vAlign w:val="center"/>
          </w:tcPr>
          <w:p w:rsidR="00B71239" w:rsidRPr="00F83792" w:rsidRDefault="00E56C9A" w:rsidP="00CF7BAD">
            <w:pPr>
              <w:tabs>
                <w:tab w:val="left" w:pos="2160"/>
                <w:tab w:val="left" w:pos="6885"/>
              </w:tabs>
              <w:spacing w:after="60"/>
              <w:jc w:val="center"/>
              <w:rPr>
                <w:rFonts w:ascii="Arial" w:eastAsia="Arial Unicode MS" w:hAnsi="Arial" w:cs="Arial"/>
                <w:sz w:val="20"/>
                <w:szCs w:val="20"/>
                <w:highlight w:val="magenta"/>
              </w:rPr>
            </w:pPr>
            <w:r>
              <w:rPr>
                <w:rFonts w:ascii="Arial" w:eastAsia="Arial Unicode MS" w:hAnsi="Arial" w:cs="Arial"/>
                <w:color w:val="000000"/>
                <w:sz w:val="20"/>
                <w:szCs w:val="20"/>
              </w:rPr>
              <w:t>6</w:t>
            </w:r>
          </w:p>
        </w:tc>
        <w:tc>
          <w:tcPr>
            <w:tcW w:w="1842" w:type="dxa"/>
            <w:vAlign w:val="center"/>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sz w:val="20"/>
                <w:szCs w:val="20"/>
              </w:rPr>
              <w:t>245.5</w:t>
            </w:r>
          </w:p>
        </w:tc>
      </w:tr>
      <w:tr w:rsidR="00B368D6" w:rsidTr="00AB27C4">
        <w:trPr>
          <w:trHeight w:val="431"/>
        </w:trPr>
        <w:tc>
          <w:tcPr>
            <w:tcW w:w="1843" w:type="dxa"/>
            <w:vAlign w:val="center"/>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color w:val="000000"/>
                <w:sz w:val="20"/>
                <w:szCs w:val="20"/>
              </w:rPr>
              <w:t>5.5</w:t>
            </w:r>
          </w:p>
        </w:tc>
        <w:tc>
          <w:tcPr>
            <w:tcW w:w="5245" w:type="dxa"/>
            <w:vAlign w:val="center"/>
          </w:tcPr>
          <w:p w:rsidR="00B71239" w:rsidRPr="00F83792" w:rsidRDefault="00E56C9A" w:rsidP="00CF7BAD">
            <w:pPr>
              <w:tabs>
                <w:tab w:val="left" w:pos="2160"/>
                <w:tab w:val="left" w:pos="6885"/>
              </w:tabs>
              <w:spacing w:after="60"/>
              <w:rPr>
                <w:rFonts w:ascii="Arial" w:eastAsia="Arial Unicode MS" w:hAnsi="Arial" w:cs="Arial"/>
                <w:sz w:val="20"/>
                <w:szCs w:val="20"/>
              </w:rPr>
            </w:pPr>
            <w:r w:rsidRPr="00F83792">
              <w:rPr>
                <w:rFonts w:ascii="Arial" w:eastAsia="Arial Unicode MS" w:hAnsi="Arial" w:cs="Arial"/>
                <w:color w:val="000000"/>
                <w:sz w:val="20"/>
                <w:szCs w:val="20"/>
              </w:rPr>
              <w:t>Transfers in from other pension funds</w:t>
            </w:r>
          </w:p>
        </w:tc>
        <w:tc>
          <w:tcPr>
            <w:tcW w:w="709" w:type="dxa"/>
            <w:shd w:val="clear" w:color="auto" w:fill="auto"/>
            <w:vAlign w:val="center"/>
          </w:tcPr>
          <w:p w:rsidR="00B71239" w:rsidRPr="00F83792" w:rsidRDefault="00E56C9A" w:rsidP="00CF7BAD">
            <w:pPr>
              <w:tabs>
                <w:tab w:val="left" w:pos="2160"/>
                <w:tab w:val="left" w:pos="6885"/>
              </w:tabs>
              <w:spacing w:after="60"/>
              <w:jc w:val="center"/>
              <w:rPr>
                <w:rFonts w:ascii="Arial" w:eastAsia="Arial Unicode MS" w:hAnsi="Arial" w:cs="Arial"/>
                <w:sz w:val="20"/>
                <w:szCs w:val="20"/>
              </w:rPr>
            </w:pPr>
            <w:r>
              <w:rPr>
                <w:rFonts w:ascii="Arial" w:eastAsia="Arial Unicode MS" w:hAnsi="Arial" w:cs="Arial"/>
                <w:color w:val="000000"/>
                <w:sz w:val="20"/>
                <w:szCs w:val="20"/>
              </w:rPr>
              <w:t>7</w:t>
            </w:r>
          </w:p>
        </w:tc>
        <w:tc>
          <w:tcPr>
            <w:tcW w:w="1842" w:type="dxa"/>
            <w:vAlign w:val="center"/>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sz w:val="20"/>
                <w:szCs w:val="20"/>
              </w:rPr>
              <w:t>10.9</w:t>
            </w:r>
          </w:p>
        </w:tc>
      </w:tr>
      <w:tr w:rsidR="00B368D6" w:rsidTr="00CF7BAD">
        <w:trPr>
          <w:trHeight w:val="431"/>
        </w:trPr>
        <w:tc>
          <w:tcPr>
            <w:tcW w:w="1843" w:type="dxa"/>
            <w:shd w:val="clear" w:color="auto" w:fill="E7E6E6" w:themeFill="background2"/>
            <w:vAlign w:val="center"/>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b/>
                <w:color w:val="000000"/>
                <w:sz w:val="20"/>
                <w:szCs w:val="20"/>
              </w:rPr>
              <w:t>244.1</w:t>
            </w:r>
          </w:p>
        </w:tc>
        <w:tc>
          <w:tcPr>
            <w:tcW w:w="5245" w:type="dxa"/>
            <w:shd w:val="clear" w:color="auto" w:fill="E7E6E6" w:themeFill="background2"/>
            <w:vAlign w:val="center"/>
          </w:tcPr>
          <w:p w:rsidR="00B71239" w:rsidRPr="00F83792" w:rsidRDefault="00E56C9A" w:rsidP="00CF7BAD">
            <w:pPr>
              <w:tabs>
                <w:tab w:val="left" w:pos="2160"/>
                <w:tab w:val="left" w:pos="6885"/>
              </w:tabs>
              <w:spacing w:after="60"/>
              <w:rPr>
                <w:rFonts w:ascii="Arial" w:eastAsia="Arial Unicode MS" w:hAnsi="Arial" w:cs="Arial"/>
                <w:sz w:val="20"/>
                <w:szCs w:val="20"/>
              </w:rPr>
            </w:pPr>
          </w:p>
        </w:tc>
        <w:tc>
          <w:tcPr>
            <w:tcW w:w="709" w:type="dxa"/>
            <w:shd w:val="clear" w:color="auto" w:fill="E7E6E6" w:themeFill="background2"/>
            <w:vAlign w:val="center"/>
          </w:tcPr>
          <w:p w:rsidR="00B71239" w:rsidRPr="00F83792" w:rsidRDefault="00E56C9A" w:rsidP="00CF7BAD">
            <w:pPr>
              <w:tabs>
                <w:tab w:val="left" w:pos="2160"/>
                <w:tab w:val="left" w:pos="6885"/>
              </w:tabs>
              <w:spacing w:after="60"/>
              <w:jc w:val="center"/>
              <w:rPr>
                <w:rFonts w:ascii="Arial" w:eastAsia="Arial Unicode MS" w:hAnsi="Arial" w:cs="Arial"/>
                <w:sz w:val="20"/>
                <w:szCs w:val="20"/>
                <w:highlight w:val="magenta"/>
              </w:rPr>
            </w:pPr>
          </w:p>
        </w:tc>
        <w:tc>
          <w:tcPr>
            <w:tcW w:w="1842" w:type="dxa"/>
            <w:shd w:val="clear" w:color="auto" w:fill="E7E6E6" w:themeFill="background2"/>
            <w:vAlign w:val="center"/>
          </w:tcPr>
          <w:p w:rsidR="00B71239" w:rsidRPr="00F83792" w:rsidRDefault="00E56C9A" w:rsidP="00CF7BAD">
            <w:pPr>
              <w:tabs>
                <w:tab w:val="left" w:pos="2160"/>
                <w:tab w:val="left" w:pos="6885"/>
              </w:tabs>
              <w:spacing w:after="60"/>
              <w:jc w:val="right"/>
              <w:rPr>
                <w:rFonts w:ascii="Arial" w:eastAsia="Arial Unicode MS" w:hAnsi="Arial" w:cs="Arial"/>
                <w:b/>
                <w:sz w:val="20"/>
                <w:szCs w:val="20"/>
              </w:rPr>
            </w:pPr>
            <w:r w:rsidRPr="00F83792">
              <w:rPr>
                <w:rFonts w:ascii="Arial" w:eastAsia="Arial Unicode MS" w:hAnsi="Arial" w:cs="Arial"/>
                <w:b/>
                <w:sz w:val="20"/>
                <w:szCs w:val="20"/>
              </w:rPr>
              <w:t>256.4</w:t>
            </w:r>
          </w:p>
        </w:tc>
      </w:tr>
      <w:tr w:rsidR="00B368D6" w:rsidTr="00F40AD2">
        <w:trPr>
          <w:trHeight w:val="431"/>
        </w:trPr>
        <w:tc>
          <w:tcPr>
            <w:tcW w:w="1843" w:type="dxa"/>
            <w:vAlign w:val="center"/>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color w:val="000000"/>
                <w:sz w:val="20"/>
                <w:szCs w:val="20"/>
              </w:rPr>
              <w:t>(245.8)</w:t>
            </w:r>
          </w:p>
        </w:tc>
        <w:tc>
          <w:tcPr>
            <w:tcW w:w="5245" w:type="dxa"/>
            <w:vAlign w:val="center"/>
          </w:tcPr>
          <w:p w:rsidR="00B71239" w:rsidRPr="00F83792" w:rsidRDefault="00E56C9A" w:rsidP="00CF7BAD">
            <w:pPr>
              <w:tabs>
                <w:tab w:val="left" w:pos="2160"/>
                <w:tab w:val="left" w:pos="6885"/>
              </w:tabs>
              <w:spacing w:after="60"/>
              <w:rPr>
                <w:rFonts w:ascii="Arial" w:eastAsia="Arial Unicode MS" w:hAnsi="Arial" w:cs="Arial"/>
                <w:sz w:val="20"/>
                <w:szCs w:val="20"/>
              </w:rPr>
            </w:pPr>
            <w:r w:rsidRPr="00F83792">
              <w:rPr>
                <w:rFonts w:ascii="Arial" w:eastAsia="Arial Unicode MS" w:hAnsi="Arial" w:cs="Arial"/>
                <w:color w:val="000000"/>
                <w:sz w:val="20"/>
                <w:szCs w:val="20"/>
              </w:rPr>
              <w:t>Benefits</w:t>
            </w:r>
          </w:p>
        </w:tc>
        <w:tc>
          <w:tcPr>
            <w:tcW w:w="709" w:type="dxa"/>
            <w:shd w:val="clear" w:color="auto" w:fill="auto"/>
            <w:vAlign w:val="center"/>
          </w:tcPr>
          <w:p w:rsidR="00B71239" w:rsidRPr="00F83792" w:rsidRDefault="00E56C9A" w:rsidP="00CF7BAD">
            <w:pPr>
              <w:tabs>
                <w:tab w:val="left" w:pos="2160"/>
                <w:tab w:val="left" w:pos="6885"/>
              </w:tabs>
              <w:spacing w:after="60"/>
              <w:jc w:val="center"/>
              <w:rPr>
                <w:rFonts w:ascii="Arial" w:eastAsia="Arial Unicode MS" w:hAnsi="Arial" w:cs="Arial"/>
                <w:sz w:val="20"/>
                <w:szCs w:val="20"/>
                <w:highlight w:val="magenta"/>
              </w:rPr>
            </w:pPr>
            <w:r>
              <w:rPr>
                <w:rFonts w:ascii="Arial" w:eastAsia="Arial Unicode MS" w:hAnsi="Arial" w:cs="Arial"/>
                <w:color w:val="000000"/>
                <w:sz w:val="20"/>
                <w:szCs w:val="20"/>
              </w:rPr>
              <w:t>8</w:t>
            </w:r>
          </w:p>
        </w:tc>
        <w:tc>
          <w:tcPr>
            <w:tcW w:w="1842" w:type="dxa"/>
            <w:vAlign w:val="center"/>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sz w:val="20"/>
                <w:szCs w:val="20"/>
              </w:rPr>
              <w:t>(261.1)</w:t>
            </w:r>
          </w:p>
        </w:tc>
      </w:tr>
      <w:tr w:rsidR="00B368D6" w:rsidTr="00CF7BAD">
        <w:trPr>
          <w:trHeight w:val="431"/>
        </w:trPr>
        <w:tc>
          <w:tcPr>
            <w:tcW w:w="1843" w:type="dxa"/>
            <w:vAlign w:val="center"/>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color w:val="000000"/>
                <w:sz w:val="20"/>
                <w:szCs w:val="20"/>
              </w:rPr>
              <w:t>(12.5)</w:t>
            </w:r>
          </w:p>
        </w:tc>
        <w:tc>
          <w:tcPr>
            <w:tcW w:w="5245" w:type="dxa"/>
            <w:vAlign w:val="center"/>
          </w:tcPr>
          <w:p w:rsidR="00B71239" w:rsidRPr="00F83792" w:rsidRDefault="00E56C9A" w:rsidP="00CF7BAD">
            <w:pPr>
              <w:tabs>
                <w:tab w:val="left" w:pos="2160"/>
                <w:tab w:val="left" w:pos="6885"/>
              </w:tabs>
              <w:spacing w:after="60"/>
              <w:rPr>
                <w:rFonts w:ascii="Arial" w:eastAsia="Arial Unicode MS" w:hAnsi="Arial" w:cs="Arial"/>
                <w:sz w:val="20"/>
                <w:szCs w:val="20"/>
              </w:rPr>
            </w:pPr>
            <w:r w:rsidRPr="00F83792">
              <w:rPr>
                <w:rFonts w:ascii="Arial" w:eastAsia="Arial Unicode MS" w:hAnsi="Arial" w:cs="Arial"/>
                <w:color w:val="000000"/>
                <w:sz w:val="20"/>
                <w:szCs w:val="20"/>
              </w:rPr>
              <w:t xml:space="preserve">Payments </w:t>
            </w:r>
            <w:r w:rsidRPr="00F83792">
              <w:rPr>
                <w:rFonts w:ascii="Arial" w:eastAsia="Arial Unicode MS" w:hAnsi="Arial" w:cs="Arial"/>
                <w:color w:val="000000"/>
                <w:sz w:val="20"/>
                <w:szCs w:val="20"/>
              </w:rPr>
              <w:t>to and on account of leavers</w:t>
            </w:r>
          </w:p>
        </w:tc>
        <w:tc>
          <w:tcPr>
            <w:tcW w:w="709" w:type="dxa"/>
            <w:vAlign w:val="center"/>
          </w:tcPr>
          <w:p w:rsidR="00B71239" w:rsidRPr="00F83792" w:rsidRDefault="00E56C9A" w:rsidP="00CF7BAD">
            <w:pPr>
              <w:tabs>
                <w:tab w:val="left" w:pos="2160"/>
                <w:tab w:val="left" w:pos="6885"/>
              </w:tabs>
              <w:spacing w:after="60"/>
              <w:jc w:val="center"/>
              <w:rPr>
                <w:rFonts w:ascii="Arial" w:eastAsia="Arial Unicode MS" w:hAnsi="Arial" w:cs="Arial"/>
                <w:sz w:val="20"/>
                <w:szCs w:val="20"/>
              </w:rPr>
            </w:pPr>
            <w:r>
              <w:rPr>
                <w:rFonts w:ascii="Arial" w:eastAsia="Arial Unicode MS" w:hAnsi="Arial" w:cs="Arial"/>
                <w:color w:val="000000"/>
                <w:sz w:val="20"/>
                <w:szCs w:val="20"/>
              </w:rPr>
              <w:t>9</w:t>
            </w:r>
          </w:p>
        </w:tc>
        <w:tc>
          <w:tcPr>
            <w:tcW w:w="1842" w:type="dxa"/>
            <w:vAlign w:val="center"/>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sz w:val="20"/>
                <w:szCs w:val="20"/>
              </w:rPr>
              <w:t>(15.7)</w:t>
            </w:r>
          </w:p>
        </w:tc>
      </w:tr>
      <w:tr w:rsidR="00B368D6" w:rsidTr="00CF7BAD">
        <w:trPr>
          <w:trHeight w:val="431"/>
        </w:trPr>
        <w:tc>
          <w:tcPr>
            <w:tcW w:w="1843" w:type="dxa"/>
            <w:shd w:val="clear" w:color="auto" w:fill="E7E6E6" w:themeFill="background2"/>
            <w:vAlign w:val="center"/>
          </w:tcPr>
          <w:p w:rsidR="00B71239" w:rsidRPr="00F83792" w:rsidRDefault="00E56C9A" w:rsidP="00CF7BAD">
            <w:pPr>
              <w:tabs>
                <w:tab w:val="left" w:pos="2160"/>
                <w:tab w:val="left" w:pos="6885"/>
              </w:tabs>
              <w:spacing w:after="60"/>
              <w:jc w:val="right"/>
              <w:rPr>
                <w:rFonts w:ascii="Arial" w:eastAsia="Arial Unicode MS" w:hAnsi="Arial" w:cs="Arial"/>
                <w:b/>
                <w:color w:val="000000"/>
                <w:sz w:val="20"/>
                <w:szCs w:val="20"/>
              </w:rPr>
            </w:pPr>
            <w:r w:rsidRPr="00F83792">
              <w:rPr>
                <w:rFonts w:ascii="Arial" w:eastAsia="Arial Unicode MS" w:hAnsi="Arial" w:cs="Arial"/>
                <w:b/>
                <w:color w:val="000000"/>
                <w:sz w:val="20"/>
                <w:szCs w:val="20"/>
              </w:rPr>
              <w:t>(258.3)</w:t>
            </w:r>
          </w:p>
        </w:tc>
        <w:tc>
          <w:tcPr>
            <w:tcW w:w="5245" w:type="dxa"/>
            <w:shd w:val="clear" w:color="auto" w:fill="E7E6E6" w:themeFill="background2"/>
            <w:vAlign w:val="center"/>
          </w:tcPr>
          <w:p w:rsidR="00B71239" w:rsidRPr="00F83792" w:rsidRDefault="00E56C9A" w:rsidP="00CF7BAD">
            <w:pPr>
              <w:tabs>
                <w:tab w:val="left" w:pos="2160"/>
                <w:tab w:val="left" w:pos="6885"/>
              </w:tabs>
              <w:spacing w:after="60"/>
              <w:rPr>
                <w:rFonts w:ascii="Arial" w:eastAsia="Arial Unicode MS" w:hAnsi="Arial" w:cs="Arial"/>
                <w:b/>
                <w:sz w:val="20"/>
                <w:szCs w:val="20"/>
              </w:rPr>
            </w:pPr>
          </w:p>
        </w:tc>
        <w:tc>
          <w:tcPr>
            <w:tcW w:w="709" w:type="dxa"/>
            <w:shd w:val="clear" w:color="auto" w:fill="E7E6E6" w:themeFill="background2"/>
          </w:tcPr>
          <w:p w:rsidR="00B71239" w:rsidRPr="00F83792" w:rsidRDefault="00E56C9A" w:rsidP="00CF7BAD">
            <w:pPr>
              <w:tabs>
                <w:tab w:val="left" w:pos="2160"/>
                <w:tab w:val="left" w:pos="6885"/>
              </w:tabs>
              <w:spacing w:after="60"/>
              <w:jc w:val="center"/>
              <w:rPr>
                <w:rFonts w:ascii="Arial" w:eastAsia="Arial Unicode MS" w:hAnsi="Arial" w:cs="Arial"/>
                <w:b/>
                <w:sz w:val="20"/>
                <w:szCs w:val="20"/>
                <w:highlight w:val="magenta"/>
              </w:rPr>
            </w:pPr>
          </w:p>
        </w:tc>
        <w:tc>
          <w:tcPr>
            <w:tcW w:w="1842" w:type="dxa"/>
            <w:shd w:val="clear" w:color="auto" w:fill="E7E6E6" w:themeFill="background2"/>
            <w:vAlign w:val="center"/>
          </w:tcPr>
          <w:p w:rsidR="00B71239" w:rsidRPr="00F83792" w:rsidRDefault="00E56C9A" w:rsidP="00CF7BAD">
            <w:pPr>
              <w:tabs>
                <w:tab w:val="left" w:pos="2160"/>
                <w:tab w:val="left" w:pos="6885"/>
              </w:tabs>
              <w:spacing w:after="60"/>
              <w:jc w:val="right"/>
              <w:rPr>
                <w:rFonts w:ascii="Arial" w:eastAsia="Arial Unicode MS" w:hAnsi="Arial" w:cs="Arial"/>
                <w:b/>
                <w:sz w:val="20"/>
                <w:szCs w:val="20"/>
              </w:rPr>
            </w:pPr>
            <w:r w:rsidRPr="00F83792">
              <w:rPr>
                <w:rFonts w:ascii="Arial" w:eastAsia="Arial Unicode MS" w:hAnsi="Arial" w:cs="Arial"/>
                <w:b/>
                <w:sz w:val="20"/>
                <w:szCs w:val="20"/>
              </w:rPr>
              <w:t>(276.8)</w:t>
            </w:r>
          </w:p>
        </w:tc>
      </w:tr>
      <w:tr w:rsidR="00B368D6" w:rsidTr="009C43B7">
        <w:trPr>
          <w:trHeight w:val="431"/>
        </w:trPr>
        <w:tc>
          <w:tcPr>
            <w:tcW w:w="1843" w:type="dxa"/>
            <w:shd w:val="clear" w:color="auto" w:fill="E7E6E6" w:themeFill="background2"/>
            <w:vAlign w:val="center"/>
          </w:tcPr>
          <w:p w:rsidR="00B71239" w:rsidRPr="00F83792" w:rsidRDefault="00E56C9A" w:rsidP="00CF7BAD">
            <w:pPr>
              <w:tabs>
                <w:tab w:val="left" w:pos="2160"/>
                <w:tab w:val="left" w:pos="6885"/>
              </w:tabs>
              <w:spacing w:after="60"/>
              <w:jc w:val="right"/>
              <w:rPr>
                <w:rFonts w:ascii="Arial" w:eastAsia="Arial Unicode MS" w:hAnsi="Arial" w:cs="Arial"/>
                <w:b/>
                <w:color w:val="000000"/>
                <w:sz w:val="20"/>
                <w:szCs w:val="20"/>
              </w:rPr>
            </w:pPr>
            <w:r w:rsidRPr="00F83792">
              <w:rPr>
                <w:rFonts w:ascii="Arial" w:eastAsia="Arial Unicode MS" w:hAnsi="Arial" w:cs="Arial"/>
                <w:b/>
                <w:color w:val="000000"/>
                <w:sz w:val="20"/>
                <w:szCs w:val="20"/>
              </w:rPr>
              <w:t>(14.2)</w:t>
            </w:r>
          </w:p>
        </w:tc>
        <w:tc>
          <w:tcPr>
            <w:tcW w:w="5245" w:type="dxa"/>
            <w:shd w:val="clear" w:color="auto" w:fill="E7E6E6" w:themeFill="background2"/>
            <w:vAlign w:val="center"/>
          </w:tcPr>
          <w:p w:rsidR="00B71239" w:rsidRPr="00F83792" w:rsidRDefault="00E56C9A" w:rsidP="00CF7BAD">
            <w:pPr>
              <w:tabs>
                <w:tab w:val="left" w:pos="2160"/>
                <w:tab w:val="left" w:pos="6885"/>
              </w:tabs>
              <w:spacing w:after="60"/>
              <w:rPr>
                <w:rFonts w:ascii="Arial" w:eastAsia="Arial Unicode MS" w:hAnsi="Arial" w:cs="Arial"/>
                <w:b/>
                <w:color w:val="000000"/>
                <w:sz w:val="20"/>
                <w:szCs w:val="20"/>
              </w:rPr>
            </w:pPr>
            <w:r w:rsidRPr="00F83792">
              <w:rPr>
                <w:rFonts w:ascii="Arial" w:eastAsia="Arial Unicode MS" w:hAnsi="Arial" w:cs="Arial"/>
                <w:b/>
                <w:color w:val="000000"/>
                <w:sz w:val="20"/>
                <w:szCs w:val="20"/>
              </w:rPr>
              <w:t>Net withdrawals from dealings with members</w:t>
            </w:r>
          </w:p>
        </w:tc>
        <w:tc>
          <w:tcPr>
            <w:tcW w:w="709" w:type="dxa"/>
            <w:shd w:val="clear" w:color="auto" w:fill="E7E6E6" w:themeFill="background2"/>
            <w:vAlign w:val="center"/>
          </w:tcPr>
          <w:p w:rsidR="00B71239" w:rsidRPr="00F83792" w:rsidRDefault="00E56C9A" w:rsidP="00CF7BAD">
            <w:pPr>
              <w:tabs>
                <w:tab w:val="left" w:pos="2160"/>
                <w:tab w:val="left" w:pos="6885"/>
              </w:tabs>
              <w:spacing w:after="60"/>
              <w:jc w:val="center"/>
              <w:rPr>
                <w:rFonts w:ascii="Arial" w:eastAsia="Arial Unicode MS" w:hAnsi="Arial" w:cs="Arial"/>
                <w:color w:val="000000"/>
                <w:sz w:val="20"/>
                <w:szCs w:val="20"/>
                <w:highlight w:val="magenta"/>
              </w:rPr>
            </w:pPr>
          </w:p>
        </w:tc>
        <w:tc>
          <w:tcPr>
            <w:tcW w:w="1842" w:type="dxa"/>
            <w:shd w:val="clear" w:color="auto" w:fill="E7E6E6" w:themeFill="background2"/>
            <w:vAlign w:val="center"/>
          </w:tcPr>
          <w:p w:rsidR="00B71239" w:rsidRPr="00F83792" w:rsidRDefault="00E56C9A" w:rsidP="00365425">
            <w:pPr>
              <w:tabs>
                <w:tab w:val="left" w:pos="2160"/>
                <w:tab w:val="left" w:pos="6885"/>
              </w:tabs>
              <w:spacing w:after="60"/>
              <w:jc w:val="right"/>
              <w:rPr>
                <w:rFonts w:ascii="Arial" w:eastAsia="Arial Unicode MS" w:hAnsi="Arial" w:cs="Arial"/>
                <w:b/>
                <w:sz w:val="20"/>
                <w:szCs w:val="20"/>
              </w:rPr>
            </w:pPr>
            <w:r w:rsidRPr="00F83792">
              <w:rPr>
                <w:rFonts w:ascii="Arial" w:eastAsia="Arial Unicode MS" w:hAnsi="Arial" w:cs="Arial"/>
                <w:b/>
                <w:sz w:val="20"/>
                <w:szCs w:val="20"/>
              </w:rPr>
              <w:t>(</w:t>
            </w:r>
            <w:r w:rsidRPr="00F83792">
              <w:rPr>
                <w:rFonts w:ascii="Arial" w:eastAsia="Arial Unicode MS" w:hAnsi="Arial" w:cs="Arial"/>
                <w:b/>
                <w:sz w:val="20"/>
                <w:szCs w:val="20"/>
              </w:rPr>
              <w:t>20</w:t>
            </w:r>
            <w:r w:rsidRPr="00F83792">
              <w:rPr>
                <w:rFonts w:ascii="Arial" w:eastAsia="Arial Unicode MS" w:hAnsi="Arial" w:cs="Arial"/>
                <w:b/>
                <w:sz w:val="20"/>
                <w:szCs w:val="20"/>
              </w:rPr>
              <w:t>.4</w:t>
            </w:r>
            <w:r w:rsidRPr="00F83792">
              <w:rPr>
                <w:rFonts w:ascii="Arial" w:eastAsia="Arial Unicode MS" w:hAnsi="Arial" w:cs="Arial"/>
                <w:b/>
                <w:sz w:val="20"/>
                <w:szCs w:val="20"/>
              </w:rPr>
              <w:t>)</w:t>
            </w:r>
          </w:p>
        </w:tc>
      </w:tr>
      <w:tr w:rsidR="00B368D6" w:rsidTr="00CF7BAD">
        <w:trPr>
          <w:trHeight w:val="431"/>
        </w:trPr>
        <w:tc>
          <w:tcPr>
            <w:tcW w:w="1843" w:type="dxa"/>
            <w:vAlign w:val="center"/>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color w:val="000000"/>
                <w:sz w:val="20"/>
                <w:szCs w:val="20"/>
              </w:rPr>
              <w:t>(45.3)</w:t>
            </w:r>
          </w:p>
        </w:tc>
        <w:tc>
          <w:tcPr>
            <w:tcW w:w="5245" w:type="dxa"/>
            <w:vAlign w:val="center"/>
          </w:tcPr>
          <w:p w:rsidR="00B71239" w:rsidRPr="00F83792" w:rsidRDefault="00E56C9A" w:rsidP="00CF7BAD">
            <w:pPr>
              <w:tabs>
                <w:tab w:val="left" w:pos="2160"/>
                <w:tab w:val="left" w:pos="6885"/>
              </w:tabs>
              <w:spacing w:after="60"/>
              <w:rPr>
                <w:rFonts w:ascii="Arial" w:eastAsia="Arial Unicode MS" w:hAnsi="Arial" w:cs="Arial"/>
                <w:sz w:val="20"/>
                <w:szCs w:val="20"/>
              </w:rPr>
            </w:pPr>
            <w:r w:rsidRPr="00F83792">
              <w:rPr>
                <w:rFonts w:ascii="Arial" w:eastAsia="Arial Unicode MS" w:hAnsi="Arial" w:cs="Arial"/>
                <w:color w:val="000000"/>
                <w:sz w:val="20"/>
                <w:szCs w:val="20"/>
              </w:rPr>
              <w:t>Management expenses</w:t>
            </w:r>
          </w:p>
        </w:tc>
        <w:tc>
          <w:tcPr>
            <w:tcW w:w="709" w:type="dxa"/>
            <w:vAlign w:val="center"/>
          </w:tcPr>
          <w:p w:rsidR="00B71239" w:rsidRPr="00F83792" w:rsidRDefault="00E56C9A" w:rsidP="00CF7BAD">
            <w:pPr>
              <w:tabs>
                <w:tab w:val="left" w:pos="2160"/>
                <w:tab w:val="left" w:pos="6885"/>
              </w:tabs>
              <w:spacing w:after="60"/>
              <w:jc w:val="center"/>
              <w:rPr>
                <w:rFonts w:ascii="Arial" w:eastAsia="Arial Unicode MS" w:hAnsi="Arial" w:cs="Arial"/>
                <w:sz w:val="20"/>
                <w:szCs w:val="20"/>
                <w:highlight w:val="magenta"/>
              </w:rPr>
            </w:pPr>
            <w:r>
              <w:rPr>
                <w:rFonts w:ascii="Arial" w:eastAsia="Arial Unicode MS" w:hAnsi="Arial" w:cs="Arial"/>
                <w:color w:val="000000"/>
                <w:sz w:val="20"/>
                <w:szCs w:val="20"/>
              </w:rPr>
              <w:t>10</w:t>
            </w:r>
          </w:p>
        </w:tc>
        <w:tc>
          <w:tcPr>
            <w:tcW w:w="1842" w:type="dxa"/>
            <w:vAlign w:val="center"/>
          </w:tcPr>
          <w:p w:rsidR="00B71239" w:rsidRPr="00F83792" w:rsidRDefault="00E56C9A" w:rsidP="00365425">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sz w:val="20"/>
                <w:szCs w:val="20"/>
              </w:rPr>
              <w:t>(</w:t>
            </w:r>
            <w:r w:rsidRPr="00F83792">
              <w:rPr>
                <w:rFonts w:ascii="Arial" w:eastAsia="Arial Unicode MS" w:hAnsi="Arial" w:cs="Arial"/>
                <w:sz w:val="20"/>
                <w:szCs w:val="20"/>
              </w:rPr>
              <w:t>49.</w:t>
            </w:r>
            <w:r w:rsidRPr="00F83792">
              <w:rPr>
                <w:rFonts w:ascii="Arial" w:eastAsia="Arial Unicode MS" w:hAnsi="Arial" w:cs="Arial"/>
                <w:sz w:val="20"/>
                <w:szCs w:val="20"/>
              </w:rPr>
              <w:t>6</w:t>
            </w:r>
            <w:r w:rsidRPr="00F83792">
              <w:rPr>
                <w:rFonts w:ascii="Arial" w:eastAsia="Arial Unicode MS" w:hAnsi="Arial" w:cs="Arial"/>
                <w:sz w:val="20"/>
                <w:szCs w:val="20"/>
              </w:rPr>
              <w:t>)</w:t>
            </w:r>
          </w:p>
        </w:tc>
      </w:tr>
      <w:tr w:rsidR="00B368D6" w:rsidTr="00CF7BAD">
        <w:trPr>
          <w:trHeight w:val="431"/>
        </w:trPr>
        <w:tc>
          <w:tcPr>
            <w:tcW w:w="1843" w:type="dxa"/>
            <w:shd w:val="clear" w:color="auto" w:fill="E7E6E6" w:themeFill="background2"/>
            <w:vAlign w:val="center"/>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b/>
                <w:color w:val="000000"/>
                <w:sz w:val="20"/>
                <w:szCs w:val="20"/>
              </w:rPr>
              <w:t>(59.5)</w:t>
            </w:r>
          </w:p>
        </w:tc>
        <w:tc>
          <w:tcPr>
            <w:tcW w:w="5245" w:type="dxa"/>
            <w:shd w:val="clear" w:color="auto" w:fill="E7E6E6" w:themeFill="background2"/>
            <w:vAlign w:val="center"/>
          </w:tcPr>
          <w:p w:rsidR="00B71239" w:rsidRPr="00F83792" w:rsidRDefault="00E56C9A" w:rsidP="00CF7BAD">
            <w:pPr>
              <w:tabs>
                <w:tab w:val="left" w:pos="2160"/>
                <w:tab w:val="left" w:pos="6885"/>
              </w:tabs>
              <w:spacing w:after="60"/>
              <w:rPr>
                <w:rFonts w:ascii="Arial" w:eastAsia="Arial Unicode MS" w:hAnsi="Arial" w:cs="Arial"/>
                <w:sz w:val="20"/>
                <w:szCs w:val="20"/>
              </w:rPr>
            </w:pPr>
            <w:r w:rsidRPr="00F83792">
              <w:rPr>
                <w:rFonts w:ascii="Arial" w:eastAsia="Arial Unicode MS" w:hAnsi="Arial" w:cs="Arial"/>
                <w:b/>
                <w:color w:val="000000"/>
                <w:sz w:val="20"/>
                <w:szCs w:val="20"/>
              </w:rPr>
              <w:t>Net withdrawals including fund management expenses</w:t>
            </w:r>
          </w:p>
        </w:tc>
        <w:tc>
          <w:tcPr>
            <w:tcW w:w="709" w:type="dxa"/>
            <w:shd w:val="clear" w:color="auto" w:fill="E7E6E6" w:themeFill="background2"/>
          </w:tcPr>
          <w:p w:rsidR="00B71239" w:rsidRPr="00F83792" w:rsidRDefault="00E56C9A" w:rsidP="00CF7BAD">
            <w:pPr>
              <w:tabs>
                <w:tab w:val="left" w:pos="2160"/>
                <w:tab w:val="left" w:pos="6885"/>
              </w:tabs>
              <w:spacing w:after="60"/>
              <w:jc w:val="center"/>
              <w:rPr>
                <w:rFonts w:ascii="Arial" w:eastAsia="Arial Unicode MS" w:hAnsi="Arial" w:cs="Arial"/>
                <w:sz w:val="20"/>
                <w:szCs w:val="20"/>
                <w:highlight w:val="magenta"/>
              </w:rPr>
            </w:pPr>
          </w:p>
        </w:tc>
        <w:tc>
          <w:tcPr>
            <w:tcW w:w="1842" w:type="dxa"/>
            <w:shd w:val="clear" w:color="auto" w:fill="E7E6E6" w:themeFill="background2"/>
            <w:vAlign w:val="center"/>
          </w:tcPr>
          <w:p w:rsidR="00B71239" w:rsidRPr="00F83792" w:rsidRDefault="00E56C9A" w:rsidP="00365425">
            <w:pPr>
              <w:tabs>
                <w:tab w:val="left" w:pos="2160"/>
                <w:tab w:val="left" w:pos="6885"/>
              </w:tabs>
              <w:spacing w:after="60"/>
              <w:jc w:val="right"/>
              <w:rPr>
                <w:rFonts w:ascii="Arial" w:eastAsia="Arial Unicode MS" w:hAnsi="Arial" w:cs="Arial"/>
                <w:b/>
                <w:sz w:val="20"/>
                <w:szCs w:val="20"/>
              </w:rPr>
            </w:pPr>
            <w:r w:rsidRPr="00F83792">
              <w:rPr>
                <w:rFonts w:ascii="Arial" w:eastAsia="Arial Unicode MS" w:hAnsi="Arial" w:cs="Arial"/>
                <w:b/>
                <w:sz w:val="20"/>
                <w:szCs w:val="20"/>
              </w:rPr>
              <w:t>(</w:t>
            </w:r>
            <w:r w:rsidRPr="00F83792">
              <w:rPr>
                <w:rFonts w:ascii="Arial" w:eastAsia="Arial Unicode MS" w:hAnsi="Arial" w:cs="Arial"/>
                <w:b/>
                <w:sz w:val="20"/>
                <w:szCs w:val="20"/>
              </w:rPr>
              <w:t>70.0</w:t>
            </w:r>
            <w:r w:rsidRPr="00F83792">
              <w:rPr>
                <w:rFonts w:ascii="Arial" w:eastAsia="Arial Unicode MS" w:hAnsi="Arial" w:cs="Arial"/>
                <w:b/>
                <w:sz w:val="20"/>
                <w:szCs w:val="20"/>
              </w:rPr>
              <w:t>)</w:t>
            </w:r>
          </w:p>
        </w:tc>
      </w:tr>
      <w:tr w:rsidR="00B368D6" w:rsidTr="00CF7BAD">
        <w:trPr>
          <w:trHeight w:val="431"/>
        </w:trPr>
        <w:tc>
          <w:tcPr>
            <w:tcW w:w="1843" w:type="dxa"/>
            <w:shd w:val="clear" w:color="auto" w:fill="E7E6E6" w:themeFill="background2"/>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p>
        </w:tc>
        <w:tc>
          <w:tcPr>
            <w:tcW w:w="5245" w:type="dxa"/>
            <w:shd w:val="clear" w:color="auto" w:fill="E7E6E6" w:themeFill="background2"/>
            <w:vAlign w:val="center"/>
          </w:tcPr>
          <w:p w:rsidR="00B71239" w:rsidRPr="00F83792" w:rsidRDefault="00E56C9A" w:rsidP="00CF7BAD">
            <w:pPr>
              <w:tabs>
                <w:tab w:val="left" w:pos="2160"/>
                <w:tab w:val="left" w:pos="6885"/>
              </w:tabs>
              <w:spacing w:after="60"/>
              <w:rPr>
                <w:rFonts w:ascii="Arial" w:eastAsia="Arial Unicode MS" w:hAnsi="Arial" w:cs="Arial"/>
                <w:sz w:val="20"/>
                <w:szCs w:val="20"/>
              </w:rPr>
            </w:pPr>
            <w:r w:rsidRPr="00F83792">
              <w:rPr>
                <w:rFonts w:ascii="Arial" w:eastAsia="Arial Unicode MS" w:hAnsi="Arial" w:cs="Arial"/>
                <w:b/>
                <w:color w:val="000000"/>
                <w:sz w:val="20"/>
                <w:szCs w:val="20"/>
              </w:rPr>
              <w:t>Returns on investments</w:t>
            </w:r>
          </w:p>
        </w:tc>
        <w:tc>
          <w:tcPr>
            <w:tcW w:w="709" w:type="dxa"/>
            <w:shd w:val="clear" w:color="auto" w:fill="E7E6E6" w:themeFill="background2"/>
          </w:tcPr>
          <w:p w:rsidR="00B71239" w:rsidRPr="00F83792" w:rsidRDefault="00E56C9A" w:rsidP="00CF7BAD">
            <w:pPr>
              <w:tabs>
                <w:tab w:val="left" w:pos="2160"/>
                <w:tab w:val="left" w:pos="6885"/>
              </w:tabs>
              <w:spacing w:after="60"/>
              <w:jc w:val="center"/>
              <w:rPr>
                <w:rFonts w:ascii="Arial" w:eastAsia="Arial Unicode MS" w:hAnsi="Arial" w:cs="Arial"/>
                <w:sz w:val="20"/>
                <w:szCs w:val="20"/>
                <w:highlight w:val="magenta"/>
              </w:rPr>
            </w:pPr>
          </w:p>
        </w:tc>
        <w:tc>
          <w:tcPr>
            <w:tcW w:w="1842" w:type="dxa"/>
            <w:shd w:val="clear" w:color="auto" w:fill="E7E6E6" w:themeFill="background2"/>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p>
        </w:tc>
      </w:tr>
      <w:tr w:rsidR="00B368D6" w:rsidTr="00CF7BAD">
        <w:trPr>
          <w:trHeight w:val="431"/>
        </w:trPr>
        <w:tc>
          <w:tcPr>
            <w:tcW w:w="1843" w:type="dxa"/>
            <w:vAlign w:val="center"/>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color w:val="000000"/>
                <w:sz w:val="20"/>
                <w:szCs w:val="20"/>
              </w:rPr>
              <w:t>99.1</w:t>
            </w:r>
          </w:p>
        </w:tc>
        <w:tc>
          <w:tcPr>
            <w:tcW w:w="5245" w:type="dxa"/>
            <w:vAlign w:val="center"/>
          </w:tcPr>
          <w:p w:rsidR="00B71239" w:rsidRPr="00F83792" w:rsidRDefault="00E56C9A" w:rsidP="00CF7BAD">
            <w:pPr>
              <w:tabs>
                <w:tab w:val="left" w:pos="2160"/>
                <w:tab w:val="left" w:pos="6885"/>
              </w:tabs>
              <w:spacing w:after="60"/>
              <w:rPr>
                <w:rFonts w:ascii="Arial" w:eastAsia="Arial Unicode MS" w:hAnsi="Arial" w:cs="Arial"/>
                <w:sz w:val="20"/>
                <w:szCs w:val="20"/>
              </w:rPr>
            </w:pPr>
            <w:r w:rsidRPr="00F83792">
              <w:rPr>
                <w:rFonts w:ascii="Arial" w:eastAsia="Arial Unicode MS" w:hAnsi="Arial" w:cs="Arial"/>
                <w:color w:val="000000"/>
                <w:sz w:val="20"/>
                <w:szCs w:val="20"/>
              </w:rPr>
              <w:t>Investment income</w:t>
            </w:r>
          </w:p>
        </w:tc>
        <w:tc>
          <w:tcPr>
            <w:tcW w:w="709" w:type="dxa"/>
          </w:tcPr>
          <w:p w:rsidR="00B71239" w:rsidRPr="00F83792" w:rsidRDefault="00E56C9A" w:rsidP="00CF7BAD">
            <w:pPr>
              <w:tabs>
                <w:tab w:val="left" w:pos="2160"/>
                <w:tab w:val="left" w:pos="6885"/>
              </w:tabs>
              <w:spacing w:after="60"/>
              <w:jc w:val="center"/>
              <w:rPr>
                <w:rFonts w:ascii="Arial" w:eastAsia="Arial Unicode MS" w:hAnsi="Arial" w:cs="Arial"/>
                <w:sz w:val="20"/>
                <w:szCs w:val="20"/>
              </w:rPr>
            </w:pPr>
            <w:r>
              <w:rPr>
                <w:rFonts w:ascii="Arial" w:eastAsia="Arial Unicode MS" w:hAnsi="Arial" w:cs="Arial"/>
                <w:sz w:val="20"/>
                <w:szCs w:val="20"/>
              </w:rPr>
              <w:t>11</w:t>
            </w:r>
          </w:p>
        </w:tc>
        <w:tc>
          <w:tcPr>
            <w:tcW w:w="1842" w:type="dxa"/>
            <w:vAlign w:val="center"/>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sz w:val="20"/>
                <w:szCs w:val="20"/>
              </w:rPr>
              <w:t>109.9</w:t>
            </w:r>
          </w:p>
        </w:tc>
      </w:tr>
      <w:tr w:rsidR="00B368D6" w:rsidTr="00287756">
        <w:trPr>
          <w:trHeight w:val="431"/>
        </w:trPr>
        <w:tc>
          <w:tcPr>
            <w:tcW w:w="1843" w:type="dxa"/>
            <w:shd w:val="clear" w:color="auto" w:fill="auto"/>
            <w:vAlign w:val="center"/>
          </w:tcPr>
          <w:p w:rsidR="00B71239" w:rsidRPr="00F83792" w:rsidRDefault="00E56C9A" w:rsidP="00CF7BAD">
            <w:pPr>
              <w:tabs>
                <w:tab w:val="left" w:pos="2160"/>
                <w:tab w:val="left" w:pos="6885"/>
              </w:tabs>
              <w:spacing w:after="60"/>
              <w:jc w:val="right"/>
              <w:rPr>
                <w:rFonts w:ascii="Arial" w:eastAsia="Arial Unicode MS" w:hAnsi="Arial" w:cs="Arial"/>
                <w:sz w:val="20"/>
                <w:szCs w:val="20"/>
              </w:rPr>
            </w:pPr>
            <w:r w:rsidRPr="00287756">
              <w:rPr>
                <w:rFonts w:ascii="Arial" w:eastAsia="Arial Unicode MS" w:hAnsi="Arial" w:cs="Arial"/>
                <w:color w:val="000000"/>
                <w:sz w:val="20"/>
                <w:szCs w:val="20"/>
              </w:rPr>
              <w:t>165.9</w:t>
            </w:r>
          </w:p>
        </w:tc>
        <w:tc>
          <w:tcPr>
            <w:tcW w:w="5245" w:type="dxa"/>
            <w:vAlign w:val="center"/>
          </w:tcPr>
          <w:p w:rsidR="00B71239" w:rsidRPr="00F83792" w:rsidRDefault="00E56C9A" w:rsidP="00CF7BAD">
            <w:pPr>
              <w:tabs>
                <w:tab w:val="left" w:pos="2160"/>
                <w:tab w:val="left" w:pos="6885"/>
              </w:tabs>
              <w:spacing w:after="60"/>
              <w:rPr>
                <w:rFonts w:ascii="Arial" w:eastAsia="Arial Unicode MS" w:hAnsi="Arial" w:cs="Arial"/>
                <w:sz w:val="20"/>
                <w:szCs w:val="20"/>
              </w:rPr>
            </w:pPr>
            <w:r w:rsidRPr="00F83792">
              <w:rPr>
                <w:rFonts w:ascii="Arial" w:eastAsia="Arial Unicode MS" w:hAnsi="Arial" w:cs="Arial"/>
                <w:color w:val="000000"/>
                <w:sz w:val="20"/>
                <w:szCs w:val="20"/>
              </w:rPr>
              <w:t>Profit and losses on disposal of investments and changes in the market value of investments</w:t>
            </w:r>
          </w:p>
        </w:tc>
        <w:tc>
          <w:tcPr>
            <w:tcW w:w="709" w:type="dxa"/>
          </w:tcPr>
          <w:p w:rsidR="00B71239" w:rsidRPr="00F83792" w:rsidRDefault="00E56C9A" w:rsidP="009E35C6">
            <w:pPr>
              <w:tabs>
                <w:tab w:val="left" w:pos="2160"/>
                <w:tab w:val="left" w:pos="6885"/>
              </w:tabs>
              <w:spacing w:after="60"/>
              <w:jc w:val="center"/>
              <w:rPr>
                <w:rFonts w:ascii="Arial" w:eastAsia="Arial Unicode MS" w:hAnsi="Arial" w:cs="Arial"/>
                <w:sz w:val="20"/>
                <w:szCs w:val="20"/>
                <w:highlight w:val="magenta"/>
              </w:rPr>
            </w:pPr>
            <w:r w:rsidRPr="00F83792">
              <w:rPr>
                <w:rFonts w:ascii="Arial" w:eastAsia="Arial Unicode MS" w:hAnsi="Arial" w:cs="Arial"/>
                <w:sz w:val="20"/>
                <w:szCs w:val="20"/>
              </w:rPr>
              <w:t>1</w:t>
            </w:r>
            <w:r>
              <w:rPr>
                <w:rFonts w:ascii="Arial" w:eastAsia="Arial Unicode MS" w:hAnsi="Arial" w:cs="Arial"/>
                <w:sz w:val="20"/>
                <w:szCs w:val="20"/>
              </w:rPr>
              <w:t>4</w:t>
            </w:r>
          </w:p>
        </w:tc>
        <w:tc>
          <w:tcPr>
            <w:tcW w:w="1842" w:type="dxa"/>
            <w:shd w:val="clear" w:color="auto" w:fill="auto"/>
            <w:vAlign w:val="center"/>
          </w:tcPr>
          <w:p w:rsidR="00B71239" w:rsidRPr="00F83792" w:rsidRDefault="00E56C9A" w:rsidP="00365425">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sz w:val="20"/>
                <w:szCs w:val="20"/>
              </w:rPr>
              <w:t>1,</w:t>
            </w:r>
            <w:r w:rsidRPr="00F83792">
              <w:rPr>
                <w:rFonts w:ascii="Arial" w:eastAsia="Arial Unicode MS" w:hAnsi="Arial" w:cs="Arial"/>
                <w:sz w:val="20"/>
                <w:szCs w:val="20"/>
              </w:rPr>
              <w:t>133.2</w:t>
            </w:r>
          </w:p>
        </w:tc>
      </w:tr>
      <w:tr w:rsidR="00B368D6" w:rsidTr="00CF7BAD">
        <w:trPr>
          <w:trHeight w:val="431"/>
        </w:trPr>
        <w:tc>
          <w:tcPr>
            <w:tcW w:w="1843" w:type="dxa"/>
            <w:shd w:val="clear" w:color="auto" w:fill="E7E6E6" w:themeFill="background2"/>
            <w:vAlign w:val="center"/>
          </w:tcPr>
          <w:p w:rsidR="00B71239" w:rsidRPr="00E330E6" w:rsidRDefault="00E56C9A" w:rsidP="00CF7BAD">
            <w:pPr>
              <w:tabs>
                <w:tab w:val="left" w:pos="2160"/>
                <w:tab w:val="left" w:pos="6885"/>
              </w:tabs>
              <w:spacing w:after="60"/>
              <w:jc w:val="right"/>
              <w:rPr>
                <w:rFonts w:ascii="Arial" w:eastAsia="Arial Unicode MS" w:hAnsi="Arial" w:cs="Arial"/>
                <w:sz w:val="20"/>
                <w:szCs w:val="20"/>
              </w:rPr>
            </w:pPr>
            <w:r w:rsidRPr="00E330E6">
              <w:rPr>
                <w:rFonts w:ascii="Arial" w:eastAsia="Arial Unicode MS" w:hAnsi="Arial" w:cs="Arial"/>
                <w:b/>
                <w:color w:val="000000"/>
                <w:sz w:val="20"/>
                <w:szCs w:val="20"/>
              </w:rPr>
              <w:t>265.0</w:t>
            </w:r>
          </w:p>
        </w:tc>
        <w:tc>
          <w:tcPr>
            <w:tcW w:w="5245" w:type="dxa"/>
            <w:shd w:val="clear" w:color="auto" w:fill="E7E6E6" w:themeFill="background2"/>
            <w:vAlign w:val="center"/>
          </w:tcPr>
          <w:p w:rsidR="00B71239" w:rsidRPr="00E330E6" w:rsidRDefault="00E56C9A" w:rsidP="00CF7BAD">
            <w:pPr>
              <w:tabs>
                <w:tab w:val="left" w:pos="2160"/>
                <w:tab w:val="left" w:pos="6885"/>
              </w:tabs>
              <w:spacing w:after="60"/>
              <w:rPr>
                <w:rFonts w:ascii="Arial" w:eastAsia="Arial Unicode MS" w:hAnsi="Arial" w:cs="Arial"/>
                <w:sz w:val="20"/>
                <w:szCs w:val="20"/>
              </w:rPr>
            </w:pPr>
            <w:r w:rsidRPr="00E330E6">
              <w:rPr>
                <w:rFonts w:ascii="Arial" w:eastAsia="Arial Unicode MS" w:hAnsi="Arial" w:cs="Arial"/>
                <w:b/>
                <w:color w:val="000000"/>
                <w:sz w:val="20"/>
                <w:szCs w:val="20"/>
              </w:rPr>
              <w:t>Net return on investments</w:t>
            </w:r>
          </w:p>
        </w:tc>
        <w:tc>
          <w:tcPr>
            <w:tcW w:w="709" w:type="dxa"/>
            <w:shd w:val="clear" w:color="auto" w:fill="E7E6E6" w:themeFill="background2"/>
          </w:tcPr>
          <w:p w:rsidR="00B71239" w:rsidRPr="00E330E6" w:rsidRDefault="00E56C9A" w:rsidP="00CF7BAD">
            <w:pPr>
              <w:tabs>
                <w:tab w:val="left" w:pos="2160"/>
                <w:tab w:val="left" w:pos="6885"/>
              </w:tabs>
              <w:spacing w:after="60"/>
              <w:jc w:val="right"/>
              <w:rPr>
                <w:rFonts w:ascii="Arial" w:eastAsia="Arial Unicode MS" w:hAnsi="Arial" w:cs="Arial"/>
                <w:sz w:val="20"/>
                <w:szCs w:val="20"/>
              </w:rPr>
            </w:pPr>
          </w:p>
        </w:tc>
        <w:tc>
          <w:tcPr>
            <w:tcW w:w="1842" w:type="dxa"/>
            <w:shd w:val="clear" w:color="auto" w:fill="E7E6E6" w:themeFill="background2"/>
            <w:vAlign w:val="center"/>
          </w:tcPr>
          <w:p w:rsidR="00B71239" w:rsidRPr="00E330E6" w:rsidRDefault="00E56C9A" w:rsidP="00365425">
            <w:pPr>
              <w:tabs>
                <w:tab w:val="left" w:pos="2160"/>
                <w:tab w:val="left" w:pos="6885"/>
              </w:tabs>
              <w:spacing w:after="60"/>
              <w:jc w:val="right"/>
              <w:rPr>
                <w:rFonts w:ascii="Arial" w:eastAsia="Arial Unicode MS" w:hAnsi="Arial" w:cs="Arial"/>
                <w:b/>
                <w:sz w:val="20"/>
                <w:szCs w:val="20"/>
              </w:rPr>
            </w:pPr>
            <w:r w:rsidRPr="00E330E6">
              <w:rPr>
                <w:rFonts w:ascii="Arial" w:eastAsia="Arial Unicode MS" w:hAnsi="Arial" w:cs="Arial"/>
                <w:b/>
                <w:sz w:val="20"/>
                <w:szCs w:val="20"/>
              </w:rPr>
              <w:t>1,</w:t>
            </w:r>
            <w:r w:rsidRPr="00E330E6">
              <w:rPr>
                <w:rFonts w:ascii="Arial" w:eastAsia="Arial Unicode MS" w:hAnsi="Arial" w:cs="Arial"/>
                <w:b/>
                <w:sz w:val="20"/>
                <w:szCs w:val="20"/>
              </w:rPr>
              <w:t>243.1</w:t>
            </w:r>
          </w:p>
        </w:tc>
      </w:tr>
      <w:tr w:rsidR="00B368D6" w:rsidTr="00CF7BAD">
        <w:trPr>
          <w:trHeight w:val="431"/>
        </w:trPr>
        <w:tc>
          <w:tcPr>
            <w:tcW w:w="1843" w:type="dxa"/>
            <w:shd w:val="clear" w:color="auto" w:fill="E7E6E6" w:themeFill="background2"/>
          </w:tcPr>
          <w:p w:rsidR="00B71239" w:rsidRPr="00E330E6" w:rsidRDefault="00E56C9A" w:rsidP="00CF7BAD">
            <w:pPr>
              <w:tabs>
                <w:tab w:val="left" w:pos="2160"/>
                <w:tab w:val="left" w:pos="6885"/>
              </w:tabs>
              <w:spacing w:after="60"/>
              <w:jc w:val="right"/>
              <w:rPr>
                <w:rFonts w:ascii="Arial" w:eastAsia="Arial Unicode MS" w:hAnsi="Arial" w:cs="Arial"/>
                <w:sz w:val="20"/>
                <w:szCs w:val="20"/>
              </w:rPr>
            </w:pPr>
            <w:r w:rsidRPr="00E330E6">
              <w:rPr>
                <w:rFonts w:ascii="Arial" w:eastAsia="Arial Unicode MS" w:hAnsi="Arial" w:cs="Arial"/>
                <w:b/>
                <w:color w:val="000000"/>
                <w:sz w:val="20"/>
                <w:szCs w:val="20"/>
              </w:rPr>
              <w:t>205.5</w:t>
            </w:r>
          </w:p>
        </w:tc>
        <w:tc>
          <w:tcPr>
            <w:tcW w:w="5245" w:type="dxa"/>
            <w:shd w:val="clear" w:color="auto" w:fill="E7E6E6" w:themeFill="background2"/>
            <w:vAlign w:val="center"/>
          </w:tcPr>
          <w:p w:rsidR="00B71239" w:rsidRPr="00E330E6" w:rsidRDefault="00E56C9A" w:rsidP="00CF7BAD">
            <w:pPr>
              <w:tabs>
                <w:tab w:val="left" w:pos="2160"/>
                <w:tab w:val="left" w:pos="6885"/>
              </w:tabs>
              <w:spacing w:after="60"/>
              <w:rPr>
                <w:rFonts w:ascii="Arial" w:eastAsia="Arial Unicode MS" w:hAnsi="Arial" w:cs="Arial"/>
                <w:sz w:val="20"/>
                <w:szCs w:val="20"/>
              </w:rPr>
            </w:pPr>
            <w:r w:rsidRPr="00E330E6">
              <w:rPr>
                <w:rFonts w:ascii="Arial" w:eastAsia="Arial Unicode MS" w:hAnsi="Arial" w:cs="Arial"/>
                <w:b/>
                <w:color w:val="000000"/>
                <w:sz w:val="20"/>
                <w:szCs w:val="20"/>
              </w:rPr>
              <w:t xml:space="preserve">Net increase / (decrease) in the net assets available for benefits </w:t>
            </w:r>
            <w:r w:rsidRPr="00E330E6">
              <w:rPr>
                <w:rFonts w:ascii="Arial" w:eastAsia="Arial Unicode MS" w:hAnsi="Arial" w:cs="Arial"/>
                <w:b/>
                <w:color w:val="000000"/>
                <w:sz w:val="20"/>
                <w:szCs w:val="20"/>
              </w:rPr>
              <w:t>during the year</w:t>
            </w:r>
          </w:p>
        </w:tc>
        <w:tc>
          <w:tcPr>
            <w:tcW w:w="709" w:type="dxa"/>
            <w:shd w:val="clear" w:color="auto" w:fill="E7E6E6" w:themeFill="background2"/>
          </w:tcPr>
          <w:p w:rsidR="00B71239" w:rsidRPr="00E330E6" w:rsidRDefault="00E56C9A" w:rsidP="00CF7BAD">
            <w:pPr>
              <w:tabs>
                <w:tab w:val="left" w:pos="2160"/>
                <w:tab w:val="left" w:pos="6885"/>
              </w:tabs>
              <w:spacing w:after="60"/>
              <w:jc w:val="right"/>
              <w:rPr>
                <w:rFonts w:ascii="Arial" w:eastAsia="Arial Unicode MS" w:hAnsi="Arial" w:cs="Arial"/>
                <w:sz w:val="20"/>
                <w:szCs w:val="20"/>
              </w:rPr>
            </w:pPr>
          </w:p>
        </w:tc>
        <w:tc>
          <w:tcPr>
            <w:tcW w:w="1842" w:type="dxa"/>
            <w:shd w:val="clear" w:color="auto" w:fill="E7E6E6" w:themeFill="background2"/>
          </w:tcPr>
          <w:p w:rsidR="00B71239" w:rsidRPr="00E330E6" w:rsidRDefault="00E56C9A">
            <w:pPr>
              <w:tabs>
                <w:tab w:val="left" w:pos="2160"/>
                <w:tab w:val="left" w:pos="6885"/>
              </w:tabs>
              <w:spacing w:after="60"/>
              <w:jc w:val="right"/>
              <w:rPr>
                <w:rFonts w:ascii="Arial" w:eastAsia="Arial Unicode MS" w:hAnsi="Arial" w:cs="Arial"/>
                <w:b/>
                <w:sz w:val="20"/>
                <w:szCs w:val="20"/>
              </w:rPr>
            </w:pPr>
            <w:r w:rsidRPr="00E330E6">
              <w:rPr>
                <w:rFonts w:ascii="Arial" w:eastAsia="Arial Unicode MS" w:hAnsi="Arial" w:cs="Arial"/>
                <w:b/>
                <w:sz w:val="20"/>
                <w:szCs w:val="20"/>
              </w:rPr>
              <w:t>1,</w:t>
            </w:r>
            <w:r w:rsidRPr="00E330E6">
              <w:rPr>
                <w:rFonts w:ascii="Arial" w:eastAsia="Arial Unicode MS" w:hAnsi="Arial" w:cs="Arial"/>
                <w:b/>
                <w:sz w:val="20"/>
                <w:szCs w:val="20"/>
              </w:rPr>
              <w:t>173.1</w:t>
            </w:r>
          </w:p>
        </w:tc>
      </w:tr>
      <w:tr w:rsidR="00B368D6" w:rsidTr="00CF7BAD">
        <w:trPr>
          <w:trHeight w:val="431"/>
        </w:trPr>
        <w:tc>
          <w:tcPr>
            <w:tcW w:w="1843" w:type="dxa"/>
            <w:shd w:val="clear" w:color="auto" w:fill="E7E6E6" w:themeFill="background2"/>
          </w:tcPr>
          <w:p w:rsidR="00B71239" w:rsidRPr="00E330E6" w:rsidRDefault="00E56C9A" w:rsidP="00CF7BAD">
            <w:pPr>
              <w:tabs>
                <w:tab w:val="left" w:pos="2160"/>
                <w:tab w:val="left" w:pos="6885"/>
              </w:tabs>
              <w:spacing w:after="60"/>
              <w:jc w:val="right"/>
              <w:rPr>
                <w:rFonts w:ascii="Arial" w:eastAsia="Arial Unicode MS" w:hAnsi="Arial" w:cs="Arial"/>
                <w:b/>
                <w:color w:val="000000"/>
                <w:sz w:val="20"/>
                <w:szCs w:val="20"/>
              </w:rPr>
            </w:pPr>
            <w:r w:rsidRPr="00E330E6">
              <w:rPr>
                <w:rFonts w:ascii="Arial" w:eastAsia="Arial Unicode MS" w:hAnsi="Arial" w:cs="Arial"/>
                <w:b/>
                <w:color w:val="000000"/>
                <w:sz w:val="20"/>
                <w:szCs w:val="20"/>
              </w:rPr>
              <w:t>5,830.7</w:t>
            </w:r>
          </w:p>
        </w:tc>
        <w:tc>
          <w:tcPr>
            <w:tcW w:w="5245" w:type="dxa"/>
            <w:shd w:val="clear" w:color="auto" w:fill="E7E6E6" w:themeFill="background2"/>
            <w:vAlign w:val="center"/>
          </w:tcPr>
          <w:p w:rsidR="00B71239" w:rsidRPr="00E330E6" w:rsidRDefault="00E56C9A" w:rsidP="00CF7BAD">
            <w:pPr>
              <w:tabs>
                <w:tab w:val="left" w:pos="2160"/>
                <w:tab w:val="left" w:pos="6885"/>
              </w:tabs>
              <w:spacing w:after="60"/>
              <w:rPr>
                <w:rFonts w:ascii="Arial" w:eastAsia="Arial Unicode MS" w:hAnsi="Arial" w:cs="Arial"/>
                <w:b/>
                <w:color w:val="000000"/>
                <w:sz w:val="20"/>
                <w:szCs w:val="20"/>
              </w:rPr>
            </w:pPr>
            <w:r w:rsidRPr="00E330E6">
              <w:rPr>
                <w:rFonts w:ascii="Arial" w:eastAsia="Arial Unicode MS" w:hAnsi="Arial" w:cs="Arial"/>
                <w:b/>
                <w:color w:val="000000"/>
                <w:sz w:val="20"/>
                <w:szCs w:val="20"/>
              </w:rPr>
              <w:t>Opening net assets of the scheme</w:t>
            </w:r>
          </w:p>
        </w:tc>
        <w:tc>
          <w:tcPr>
            <w:tcW w:w="709" w:type="dxa"/>
            <w:shd w:val="clear" w:color="auto" w:fill="E7E6E6" w:themeFill="background2"/>
          </w:tcPr>
          <w:p w:rsidR="00B71239" w:rsidRPr="00E330E6" w:rsidRDefault="00E56C9A" w:rsidP="00CF7BAD">
            <w:pPr>
              <w:tabs>
                <w:tab w:val="left" w:pos="2160"/>
                <w:tab w:val="left" w:pos="6885"/>
              </w:tabs>
              <w:spacing w:after="60"/>
              <w:jc w:val="right"/>
              <w:rPr>
                <w:rFonts w:ascii="Arial" w:eastAsia="Arial Unicode MS" w:hAnsi="Arial" w:cs="Arial"/>
                <w:sz w:val="20"/>
                <w:szCs w:val="20"/>
              </w:rPr>
            </w:pPr>
          </w:p>
        </w:tc>
        <w:tc>
          <w:tcPr>
            <w:tcW w:w="1842" w:type="dxa"/>
            <w:shd w:val="clear" w:color="auto" w:fill="E7E6E6" w:themeFill="background2"/>
          </w:tcPr>
          <w:p w:rsidR="00B71239" w:rsidRPr="00E330E6" w:rsidRDefault="00E56C9A" w:rsidP="00CF7BAD">
            <w:pPr>
              <w:tabs>
                <w:tab w:val="left" w:pos="2160"/>
                <w:tab w:val="left" w:pos="6885"/>
              </w:tabs>
              <w:spacing w:after="60"/>
              <w:jc w:val="right"/>
              <w:rPr>
                <w:rFonts w:ascii="Arial" w:eastAsia="Arial Unicode MS" w:hAnsi="Arial" w:cs="Arial"/>
                <w:b/>
                <w:sz w:val="20"/>
                <w:szCs w:val="20"/>
              </w:rPr>
            </w:pPr>
            <w:r w:rsidRPr="00E330E6">
              <w:rPr>
                <w:rFonts w:ascii="Arial" w:eastAsia="Arial Unicode MS" w:hAnsi="Arial" w:cs="Arial"/>
                <w:b/>
                <w:sz w:val="20"/>
                <w:szCs w:val="20"/>
              </w:rPr>
              <w:t>6,036.2</w:t>
            </w:r>
          </w:p>
        </w:tc>
      </w:tr>
      <w:tr w:rsidR="00B368D6" w:rsidTr="00CF7BAD">
        <w:trPr>
          <w:trHeight w:val="431"/>
        </w:trPr>
        <w:tc>
          <w:tcPr>
            <w:tcW w:w="1843" w:type="dxa"/>
            <w:shd w:val="clear" w:color="auto" w:fill="E7E6E6" w:themeFill="background2"/>
          </w:tcPr>
          <w:p w:rsidR="00B71239" w:rsidRPr="00E330E6" w:rsidRDefault="00E56C9A" w:rsidP="00CF7BAD">
            <w:pPr>
              <w:tabs>
                <w:tab w:val="left" w:pos="2160"/>
                <w:tab w:val="left" w:pos="6885"/>
              </w:tabs>
              <w:spacing w:after="60"/>
              <w:jc w:val="right"/>
              <w:rPr>
                <w:rFonts w:ascii="Arial" w:eastAsia="Arial Unicode MS" w:hAnsi="Arial" w:cs="Arial"/>
                <w:b/>
                <w:color w:val="000000"/>
                <w:sz w:val="20"/>
                <w:szCs w:val="20"/>
              </w:rPr>
            </w:pPr>
            <w:r w:rsidRPr="00E330E6">
              <w:rPr>
                <w:rFonts w:ascii="Arial" w:eastAsia="Arial Unicode MS" w:hAnsi="Arial" w:cs="Arial"/>
                <w:b/>
                <w:color w:val="000000"/>
                <w:sz w:val="20"/>
                <w:szCs w:val="20"/>
              </w:rPr>
              <w:t>6,036.2</w:t>
            </w:r>
          </w:p>
        </w:tc>
        <w:tc>
          <w:tcPr>
            <w:tcW w:w="5245" w:type="dxa"/>
            <w:shd w:val="clear" w:color="auto" w:fill="E7E6E6" w:themeFill="background2"/>
            <w:vAlign w:val="center"/>
          </w:tcPr>
          <w:p w:rsidR="00B71239" w:rsidRPr="00E330E6" w:rsidRDefault="00E56C9A" w:rsidP="00CF7BAD">
            <w:pPr>
              <w:tabs>
                <w:tab w:val="left" w:pos="2160"/>
                <w:tab w:val="left" w:pos="6885"/>
              </w:tabs>
              <w:spacing w:after="60"/>
              <w:rPr>
                <w:rFonts w:ascii="Arial" w:eastAsia="Arial Unicode MS" w:hAnsi="Arial" w:cs="Arial"/>
                <w:b/>
                <w:color w:val="000000"/>
                <w:sz w:val="20"/>
                <w:szCs w:val="20"/>
              </w:rPr>
            </w:pPr>
            <w:r w:rsidRPr="00E330E6">
              <w:rPr>
                <w:rFonts w:ascii="Arial" w:eastAsia="Arial Unicode MS" w:hAnsi="Arial" w:cs="Arial"/>
                <w:b/>
                <w:color w:val="000000"/>
                <w:sz w:val="20"/>
                <w:szCs w:val="20"/>
              </w:rPr>
              <w:t>Closing net assets of the scheme</w:t>
            </w:r>
          </w:p>
        </w:tc>
        <w:tc>
          <w:tcPr>
            <w:tcW w:w="709" w:type="dxa"/>
            <w:shd w:val="clear" w:color="auto" w:fill="E7E6E6" w:themeFill="background2"/>
          </w:tcPr>
          <w:p w:rsidR="00B71239" w:rsidRPr="00E330E6" w:rsidRDefault="00E56C9A" w:rsidP="00CF7BAD">
            <w:pPr>
              <w:tabs>
                <w:tab w:val="left" w:pos="2160"/>
                <w:tab w:val="left" w:pos="6885"/>
              </w:tabs>
              <w:spacing w:after="60"/>
              <w:jc w:val="right"/>
              <w:rPr>
                <w:rFonts w:ascii="Arial" w:eastAsia="Arial Unicode MS" w:hAnsi="Arial" w:cs="Arial"/>
                <w:sz w:val="20"/>
                <w:szCs w:val="20"/>
              </w:rPr>
            </w:pPr>
          </w:p>
        </w:tc>
        <w:tc>
          <w:tcPr>
            <w:tcW w:w="1842" w:type="dxa"/>
            <w:shd w:val="clear" w:color="auto" w:fill="E7E6E6" w:themeFill="background2"/>
          </w:tcPr>
          <w:p w:rsidR="00B71239" w:rsidRPr="00E330E6" w:rsidRDefault="00E56C9A">
            <w:pPr>
              <w:tabs>
                <w:tab w:val="left" w:pos="2160"/>
                <w:tab w:val="left" w:pos="6885"/>
              </w:tabs>
              <w:spacing w:after="60"/>
              <w:jc w:val="right"/>
              <w:rPr>
                <w:rFonts w:ascii="Arial" w:eastAsia="Arial Unicode MS" w:hAnsi="Arial" w:cs="Arial"/>
                <w:b/>
                <w:sz w:val="20"/>
                <w:szCs w:val="20"/>
              </w:rPr>
            </w:pPr>
            <w:r w:rsidRPr="00E330E6">
              <w:rPr>
                <w:rFonts w:ascii="Arial" w:eastAsia="Arial Unicode MS" w:hAnsi="Arial" w:cs="Arial"/>
                <w:b/>
                <w:sz w:val="20"/>
                <w:szCs w:val="20"/>
              </w:rPr>
              <w:t>7,</w:t>
            </w:r>
            <w:r w:rsidRPr="00E330E6">
              <w:rPr>
                <w:rFonts w:ascii="Arial" w:eastAsia="Arial Unicode MS" w:hAnsi="Arial" w:cs="Arial"/>
                <w:b/>
                <w:sz w:val="20"/>
                <w:szCs w:val="20"/>
              </w:rPr>
              <w:t>209.3</w:t>
            </w:r>
          </w:p>
        </w:tc>
      </w:tr>
    </w:tbl>
    <w:p w:rsidR="00CF7BAD" w:rsidRPr="00E330E6" w:rsidRDefault="00E56C9A" w:rsidP="00DC78E9">
      <w:pPr>
        <w:keepNext/>
        <w:autoSpaceDE w:val="0"/>
        <w:autoSpaceDN w:val="0"/>
        <w:adjustRightInd w:val="0"/>
        <w:jc w:val="both"/>
        <w:outlineLvl w:val="4"/>
        <w:rPr>
          <w:rFonts w:ascii="Arial" w:eastAsia="Arial Unicode MS" w:hAnsi="Arial" w:cs="Arial"/>
          <w:b/>
          <w:bCs/>
          <w:color w:val="000000"/>
          <w:szCs w:val="22"/>
        </w:rPr>
      </w:pPr>
    </w:p>
    <w:p w:rsidR="00CF7BAD" w:rsidRPr="00E330E6" w:rsidRDefault="00E56C9A" w:rsidP="00DC78E9">
      <w:pPr>
        <w:keepNext/>
        <w:autoSpaceDE w:val="0"/>
        <w:autoSpaceDN w:val="0"/>
        <w:adjustRightInd w:val="0"/>
        <w:jc w:val="both"/>
        <w:outlineLvl w:val="4"/>
        <w:rPr>
          <w:rFonts w:ascii="Arial" w:eastAsia="Arial Unicode MS" w:hAnsi="Arial" w:cs="Arial"/>
          <w:b/>
          <w:bCs/>
          <w:color w:val="000000"/>
          <w:szCs w:val="22"/>
        </w:rPr>
      </w:pPr>
    </w:p>
    <w:p w:rsidR="00DC78E9" w:rsidRPr="00E330E6" w:rsidRDefault="00E56C9A" w:rsidP="00DC78E9">
      <w:pPr>
        <w:keepNext/>
        <w:autoSpaceDE w:val="0"/>
        <w:autoSpaceDN w:val="0"/>
        <w:adjustRightInd w:val="0"/>
        <w:jc w:val="both"/>
        <w:outlineLvl w:val="4"/>
        <w:rPr>
          <w:rFonts w:ascii="Arial" w:eastAsia="Arial Unicode MS" w:hAnsi="Arial" w:cs="Arial"/>
          <w:b/>
          <w:bCs/>
          <w:color w:val="000000"/>
          <w:sz w:val="32"/>
          <w:szCs w:val="22"/>
        </w:rPr>
      </w:pPr>
      <w:r w:rsidRPr="00E330E6">
        <w:rPr>
          <w:rFonts w:ascii="Arial" w:eastAsia="Arial Unicode MS" w:hAnsi="Arial" w:cs="Arial"/>
          <w:b/>
          <w:bCs/>
          <w:color w:val="000000"/>
          <w:sz w:val="32"/>
          <w:szCs w:val="22"/>
        </w:rPr>
        <w:t xml:space="preserve">Net assets statement </w:t>
      </w:r>
    </w:p>
    <w:p w:rsidR="00DC78E9" w:rsidRPr="00E330E6" w:rsidRDefault="00E56C9A" w:rsidP="00DC78E9">
      <w:pPr>
        <w:keepNext/>
        <w:autoSpaceDE w:val="0"/>
        <w:autoSpaceDN w:val="0"/>
        <w:adjustRightInd w:val="0"/>
        <w:jc w:val="both"/>
        <w:outlineLvl w:val="4"/>
        <w:rPr>
          <w:rFonts w:ascii="Arial" w:eastAsia="Arial Unicode MS" w:hAnsi="Arial" w:cs="Arial"/>
          <w:b/>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843"/>
        <w:gridCol w:w="5245"/>
        <w:gridCol w:w="709"/>
        <w:gridCol w:w="1842"/>
      </w:tblGrid>
      <w:tr w:rsidR="00B368D6" w:rsidTr="00105290">
        <w:trPr>
          <w:trHeight w:val="264"/>
        </w:trPr>
        <w:tc>
          <w:tcPr>
            <w:tcW w:w="1843" w:type="dxa"/>
            <w:shd w:val="clear" w:color="auto" w:fill="E7E6E6" w:themeFill="background2"/>
          </w:tcPr>
          <w:p w:rsidR="00DC78E9" w:rsidRPr="00E330E6" w:rsidRDefault="00E56C9A" w:rsidP="00CD01CC">
            <w:pPr>
              <w:tabs>
                <w:tab w:val="left" w:pos="719"/>
                <w:tab w:val="left" w:pos="2160"/>
                <w:tab w:val="left" w:pos="6885"/>
              </w:tabs>
              <w:spacing w:after="60"/>
              <w:jc w:val="right"/>
              <w:rPr>
                <w:rFonts w:ascii="Arial" w:eastAsia="Arial Unicode MS" w:hAnsi="Arial" w:cs="Arial"/>
                <w:b/>
                <w:sz w:val="20"/>
                <w:szCs w:val="20"/>
              </w:rPr>
            </w:pPr>
            <w:r w:rsidRPr="00E330E6">
              <w:rPr>
                <w:rFonts w:ascii="Arial" w:eastAsia="Arial Unicode MS" w:hAnsi="Arial" w:cs="Arial"/>
                <w:b/>
                <w:sz w:val="20"/>
                <w:szCs w:val="20"/>
              </w:rPr>
              <w:t>31 March 2016</w:t>
            </w:r>
          </w:p>
        </w:tc>
        <w:tc>
          <w:tcPr>
            <w:tcW w:w="5245" w:type="dxa"/>
            <w:tcBorders>
              <w:bottom w:val="nil"/>
            </w:tcBorders>
            <w:shd w:val="clear" w:color="auto" w:fill="E7E6E6" w:themeFill="background2"/>
          </w:tcPr>
          <w:p w:rsidR="00DC78E9" w:rsidRPr="00E330E6" w:rsidRDefault="00E56C9A" w:rsidP="00105290">
            <w:pPr>
              <w:jc w:val="center"/>
              <w:rPr>
                <w:rFonts w:ascii="Arial" w:eastAsia="Arial Unicode MS" w:hAnsi="Arial" w:cs="Arial"/>
                <w:b/>
                <w:sz w:val="20"/>
                <w:szCs w:val="20"/>
              </w:rPr>
            </w:pPr>
          </w:p>
        </w:tc>
        <w:tc>
          <w:tcPr>
            <w:tcW w:w="709" w:type="dxa"/>
            <w:tcBorders>
              <w:bottom w:val="nil"/>
            </w:tcBorders>
            <w:shd w:val="clear" w:color="auto" w:fill="E7E6E6" w:themeFill="background2"/>
          </w:tcPr>
          <w:p w:rsidR="00DC78E9" w:rsidRPr="00E330E6" w:rsidRDefault="00E56C9A" w:rsidP="00105290">
            <w:pPr>
              <w:tabs>
                <w:tab w:val="left" w:pos="717"/>
                <w:tab w:val="left" w:pos="2160"/>
                <w:tab w:val="left" w:pos="6885"/>
              </w:tabs>
              <w:spacing w:after="60"/>
              <w:jc w:val="center"/>
              <w:rPr>
                <w:rFonts w:ascii="Arial" w:eastAsia="Arial Unicode MS" w:hAnsi="Arial" w:cs="Arial"/>
                <w:b/>
                <w:sz w:val="20"/>
                <w:szCs w:val="20"/>
              </w:rPr>
            </w:pPr>
            <w:r w:rsidRPr="00E330E6">
              <w:rPr>
                <w:rFonts w:ascii="Arial" w:eastAsia="Arial Unicode MS" w:hAnsi="Arial" w:cs="Arial"/>
                <w:b/>
                <w:sz w:val="20"/>
                <w:szCs w:val="20"/>
              </w:rPr>
              <w:t>Note</w:t>
            </w:r>
          </w:p>
        </w:tc>
        <w:tc>
          <w:tcPr>
            <w:tcW w:w="1842" w:type="dxa"/>
            <w:shd w:val="clear" w:color="auto" w:fill="E7E6E6" w:themeFill="background2"/>
          </w:tcPr>
          <w:p w:rsidR="00DC78E9" w:rsidRPr="00E330E6" w:rsidRDefault="00E56C9A" w:rsidP="00CD01CC">
            <w:pPr>
              <w:tabs>
                <w:tab w:val="left" w:pos="719"/>
                <w:tab w:val="left" w:pos="2160"/>
                <w:tab w:val="left" w:pos="6885"/>
              </w:tabs>
              <w:spacing w:after="60"/>
              <w:jc w:val="right"/>
              <w:rPr>
                <w:rFonts w:ascii="Arial" w:eastAsia="Arial Unicode MS" w:hAnsi="Arial" w:cs="Arial"/>
                <w:b/>
                <w:sz w:val="20"/>
                <w:szCs w:val="20"/>
              </w:rPr>
            </w:pPr>
            <w:r w:rsidRPr="00E330E6">
              <w:rPr>
                <w:rFonts w:ascii="Arial" w:eastAsia="Arial Unicode MS" w:hAnsi="Arial" w:cs="Arial"/>
                <w:b/>
                <w:sz w:val="20"/>
                <w:szCs w:val="20"/>
              </w:rPr>
              <w:t>31 March 2017</w:t>
            </w:r>
          </w:p>
        </w:tc>
      </w:tr>
      <w:tr w:rsidR="00B368D6" w:rsidTr="00105290">
        <w:trPr>
          <w:trHeight w:val="264"/>
        </w:trPr>
        <w:tc>
          <w:tcPr>
            <w:tcW w:w="1843" w:type="dxa"/>
            <w:shd w:val="clear" w:color="auto" w:fill="E7E6E6" w:themeFill="background2"/>
          </w:tcPr>
          <w:p w:rsidR="00DC78E9" w:rsidRPr="00E330E6" w:rsidRDefault="00E56C9A" w:rsidP="00AC2AD6">
            <w:pPr>
              <w:tabs>
                <w:tab w:val="left" w:pos="719"/>
                <w:tab w:val="left" w:pos="2160"/>
                <w:tab w:val="left" w:pos="6885"/>
              </w:tabs>
              <w:spacing w:after="60"/>
              <w:jc w:val="right"/>
              <w:rPr>
                <w:rFonts w:ascii="Arial" w:eastAsia="Arial Unicode MS" w:hAnsi="Arial" w:cs="Arial"/>
                <w:b/>
                <w:sz w:val="20"/>
                <w:szCs w:val="20"/>
              </w:rPr>
            </w:pPr>
            <w:r w:rsidRPr="00E330E6">
              <w:rPr>
                <w:rFonts w:ascii="Arial" w:eastAsia="Arial Unicode MS" w:hAnsi="Arial" w:cs="Arial"/>
                <w:b/>
                <w:sz w:val="20"/>
                <w:szCs w:val="20"/>
              </w:rPr>
              <w:t>£m</w:t>
            </w:r>
          </w:p>
        </w:tc>
        <w:tc>
          <w:tcPr>
            <w:tcW w:w="5245" w:type="dxa"/>
            <w:tcBorders>
              <w:top w:val="nil"/>
            </w:tcBorders>
            <w:shd w:val="clear" w:color="auto" w:fill="E7E6E6" w:themeFill="background2"/>
          </w:tcPr>
          <w:p w:rsidR="00DC78E9" w:rsidRPr="00E330E6" w:rsidRDefault="00E56C9A" w:rsidP="00105290">
            <w:pPr>
              <w:jc w:val="center"/>
              <w:rPr>
                <w:rFonts w:ascii="Arial" w:eastAsia="Arial Unicode MS" w:hAnsi="Arial" w:cs="Arial"/>
                <w:b/>
                <w:sz w:val="20"/>
                <w:szCs w:val="20"/>
              </w:rPr>
            </w:pPr>
          </w:p>
        </w:tc>
        <w:tc>
          <w:tcPr>
            <w:tcW w:w="709" w:type="dxa"/>
            <w:tcBorders>
              <w:top w:val="nil"/>
            </w:tcBorders>
            <w:shd w:val="clear" w:color="auto" w:fill="E7E6E6" w:themeFill="background2"/>
          </w:tcPr>
          <w:p w:rsidR="00DC78E9" w:rsidRPr="00E330E6" w:rsidRDefault="00E56C9A" w:rsidP="00105290">
            <w:pPr>
              <w:tabs>
                <w:tab w:val="left" w:pos="717"/>
                <w:tab w:val="left" w:pos="2160"/>
                <w:tab w:val="left" w:pos="6885"/>
              </w:tabs>
              <w:spacing w:after="60"/>
              <w:jc w:val="center"/>
              <w:rPr>
                <w:rFonts w:ascii="Arial" w:eastAsia="Arial Unicode MS" w:hAnsi="Arial" w:cs="Arial"/>
                <w:b/>
                <w:sz w:val="20"/>
                <w:szCs w:val="20"/>
              </w:rPr>
            </w:pPr>
          </w:p>
        </w:tc>
        <w:tc>
          <w:tcPr>
            <w:tcW w:w="1842" w:type="dxa"/>
            <w:shd w:val="clear" w:color="auto" w:fill="E7E6E6" w:themeFill="background2"/>
          </w:tcPr>
          <w:p w:rsidR="00DC78E9" w:rsidRPr="00E330E6" w:rsidRDefault="00E56C9A" w:rsidP="00AC2AD6">
            <w:pPr>
              <w:tabs>
                <w:tab w:val="left" w:pos="719"/>
                <w:tab w:val="left" w:pos="2160"/>
                <w:tab w:val="left" w:pos="6885"/>
              </w:tabs>
              <w:spacing w:after="60"/>
              <w:jc w:val="right"/>
              <w:rPr>
                <w:rFonts w:ascii="Arial" w:eastAsia="Arial Unicode MS" w:hAnsi="Arial" w:cs="Arial"/>
                <w:b/>
                <w:sz w:val="20"/>
                <w:szCs w:val="20"/>
              </w:rPr>
            </w:pPr>
            <w:r w:rsidRPr="00E330E6">
              <w:rPr>
                <w:rFonts w:ascii="Arial" w:eastAsia="Arial Unicode MS" w:hAnsi="Arial" w:cs="Arial"/>
                <w:b/>
                <w:sz w:val="20"/>
                <w:szCs w:val="20"/>
              </w:rPr>
              <w:t>£m</w:t>
            </w:r>
          </w:p>
        </w:tc>
      </w:tr>
      <w:tr w:rsidR="00B368D6" w:rsidTr="00105290">
        <w:trPr>
          <w:trHeight w:val="431"/>
        </w:trPr>
        <w:tc>
          <w:tcPr>
            <w:tcW w:w="1843" w:type="dxa"/>
            <w:shd w:val="clear" w:color="auto" w:fill="auto"/>
          </w:tcPr>
          <w:p w:rsidR="00DC78E9" w:rsidRPr="00E330E6" w:rsidRDefault="00E56C9A" w:rsidP="00105290">
            <w:pPr>
              <w:tabs>
                <w:tab w:val="left" w:pos="2160"/>
                <w:tab w:val="left" w:pos="6885"/>
              </w:tabs>
              <w:spacing w:after="60"/>
              <w:jc w:val="right"/>
              <w:rPr>
                <w:rFonts w:ascii="Arial" w:eastAsia="Arial Unicode MS" w:hAnsi="Arial" w:cs="Arial"/>
                <w:sz w:val="20"/>
                <w:szCs w:val="20"/>
              </w:rPr>
            </w:pPr>
            <w:r w:rsidRPr="00E330E6">
              <w:rPr>
                <w:rFonts w:ascii="Arial" w:eastAsia="Arial Unicode MS" w:hAnsi="Arial" w:cs="Arial"/>
                <w:color w:val="000000"/>
                <w:sz w:val="20"/>
                <w:szCs w:val="22"/>
              </w:rPr>
              <w:t>6,108.0</w:t>
            </w:r>
          </w:p>
        </w:tc>
        <w:tc>
          <w:tcPr>
            <w:tcW w:w="5245" w:type="dxa"/>
            <w:shd w:val="clear" w:color="auto" w:fill="auto"/>
          </w:tcPr>
          <w:p w:rsidR="00DC78E9" w:rsidRPr="00E330E6" w:rsidRDefault="00E56C9A" w:rsidP="00105290">
            <w:pPr>
              <w:rPr>
                <w:rFonts w:ascii="Arial" w:eastAsia="Arial Unicode MS" w:hAnsi="Arial" w:cs="Arial"/>
                <w:sz w:val="20"/>
                <w:szCs w:val="20"/>
              </w:rPr>
            </w:pPr>
            <w:r w:rsidRPr="00E330E6">
              <w:rPr>
                <w:rFonts w:ascii="Arial" w:eastAsia="Arial Unicode MS" w:hAnsi="Arial" w:cs="Arial"/>
                <w:color w:val="000000"/>
                <w:sz w:val="20"/>
                <w:szCs w:val="22"/>
              </w:rPr>
              <w:t>Investment assets</w:t>
            </w:r>
          </w:p>
        </w:tc>
        <w:tc>
          <w:tcPr>
            <w:tcW w:w="709" w:type="dxa"/>
            <w:shd w:val="clear" w:color="auto" w:fill="auto"/>
          </w:tcPr>
          <w:p w:rsidR="00DC78E9" w:rsidRPr="00E330E6" w:rsidRDefault="00E56C9A" w:rsidP="00105290">
            <w:pPr>
              <w:tabs>
                <w:tab w:val="left" w:pos="2160"/>
                <w:tab w:val="left" w:pos="6885"/>
              </w:tabs>
              <w:spacing w:after="60"/>
              <w:jc w:val="center"/>
              <w:rPr>
                <w:rFonts w:ascii="Arial" w:eastAsia="Arial Unicode MS" w:hAnsi="Arial" w:cs="Arial"/>
                <w:sz w:val="20"/>
                <w:szCs w:val="20"/>
                <w:highlight w:val="magenta"/>
              </w:rPr>
            </w:pPr>
            <w:r>
              <w:rPr>
                <w:rFonts w:ascii="Arial" w:eastAsia="Arial Unicode MS" w:hAnsi="Arial" w:cs="Arial"/>
                <w:color w:val="000000"/>
                <w:sz w:val="20"/>
                <w:szCs w:val="22"/>
              </w:rPr>
              <w:t>14</w:t>
            </w:r>
          </w:p>
        </w:tc>
        <w:tc>
          <w:tcPr>
            <w:tcW w:w="1842" w:type="dxa"/>
            <w:shd w:val="clear" w:color="auto" w:fill="auto"/>
          </w:tcPr>
          <w:p w:rsidR="00DC78E9" w:rsidRPr="00E330E6" w:rsidRDefault="00E56C9A" w:rsidP="00105290">
            <w:pPr>
              <w:tabs>
                <w:tab w:val="left" w:pos="2160"/>
                <w:tab w:val="left" w:pos="6885"/>
              </w:tabs>
              <w:spacing w:after="60"/>
              <w:jc w:val="right"/>
              <w:rPr>
                <w:rFonts w:ascii="Arial" w:eastAsia="Arial Unicode MS" w:hAnsi="Arial" w:cs="Arial"/>
                <w:sz w:val="20"/>
                <w:szCs w:val="20"/>
              </w:rPr>
            </w:pPr>
            <w:r w:rsidRPr="00E330E6">
              <w:rPr>
                <w:rFonts w:ascii="Arial" w:eastAsia="Arial Unicode MS" w:hAnsi="Arial" w:cs="Arial"/>
                <w:sz w:val="20"/>
                <w:szCs w:val="20"/>
              </w:rPr>
              <w:t>7,135.1</w:t>
            </w:r>
          </w:p>
        </w:tc>
      </w:tr>
      <w:tr w:rsidR="00B368D6" w:rsidTr="00105290">
        <w:trPr>
          <w:trHeight w:val="431"/>
        </w:trPr>
        <w:tc>
          <w:tcPr>
            <w:tcW w:w="1843" w:type="dxa"/>
            <w:shd w:val="clear" w:color="auto" w:fill="auto"/>
          </w:tcPr>
          <w:p w:rsidR="00DC78E9" w:rsidRPr="00E330E6" w:rsidRDefault="00E56C9A" w:rsidP="00105290">
            <w:pPr>
              <w:tabs>
                <w:tab w:val="left" w:pos="2160"/>
                <w:tab w:val="left" w:pos="6885"/>
              </w:tabs>
              <w:spacing w:after="60"/>
              <w:jc w:val="right"/>
              <w:rPr>
                <w:rFonts w:ascii="Arial" w:eastAsia="Arial Unicode MS" w:hAnsi="Arial" w:cs="Arial"/>
                <w:sz w:val="20"/>
                <w:szCs w:val="20"/>
              </w:rPr>
            </w:pPr>
            <w:r w:rsidRPr="00E330E6">
              <w:rPr>
                <w:rFonts w:ascii="Arial" w:eastAsia="Arial Unicode MS" w:hAnsi="Arial" w:cs="Arial"/>
                <w:color w:val="000000"/>
                <w:sz w:val="20"/>
                <w:szCs w:val="22"/>
              </w:rPr>
              <w:t>210.3</w:t>
            </w:r>
          </w:p>
        </w:tc>
        <w:tc>
          <w:tcPr>
            <w:tcW w:w="5245" w:type="dxa"/>
            <w:shd w:val="clear" w:color="auto" w:fill="auto"/>
          </w:tcPr>
          <w:p w:rsidR="00DC78E9" w:rsidRPr="00E330E6" w:rsidRDefault="00E56C9A" w:rsidP="00105290">
            <w:pPr>
              <w:tabs>
                <w:tab w:val="left" w:pos="2160"/>
                <w:tab w:val="left" w:pos="6885"/>
              </w:tabs>
              <w:spacing w:after="60"/>
              <w:rPr>
                <w:rFonts w:ascii="Arial" w:eastAsia="Arial Unicode MS" w:hAnsi="Arial" w:cs="Arial"/>
                <w:sz w:val="20"/>
                <w:szCs w:val="20"/>
              </w:rPr>
            </w:pPr>
            <w:r w:rsidRPr="00E330E6">
              <w:rPr>
                <w:rFonts w:ascii="Arial" w:eastAsia="Arial Unicode MS" w:hAnsi="Arial" w:cs="Arial"/>
                <w:color w:val="000000"/>
                <w:sz w:val="20"/>
                <w:szCs w:val="22"/>
              </w:rPr>
              <w:t>Cash deposits</w:t>
            </w:r>
          </w:p>
        </w:tc>
        <w:tc>
          <w:tcPr>
            <w:tcW w:w="709" w:type="dxa"/>
            <w:shd w:val="clear" w:color="auto" w:fill="auto"/>
          </w:tcPr>
          <w:p w:rsidR="00DC78E9" w:rsidRPr="00E330E6" w:rsidRDefault="00E56C9A" w:rsidP="00105290">
            <w:pPr>
              <w:tabs>
                <w:tab w:val="left" w:pos="2160"/>
                <w:tab w:val="left" w:pos="6885"/>
              </w:tabs>
              <w:spacing w:after="60"/>
              <w:jc w:val="center"/>
              <w:rPr>
                <w:rFonts w:ascii="Arial" w:eastAsia="Arial Unicode MS" w:hAnsi="Arial" w:cs="Arial"/>
                <w:sz w:val="20"/>
                <w:szCs w:val="20"/>
                <w:highlight w:val="magenta"/>
              </w:rPr>
            </w:pPr>
            <w:r>
              <w:rPr>
                <w:rFonts w:ascii="Arial" w:eastAsia="Arial Unicode MS" w:hAnsi="Arial" w:cs="Arial"/>
                <w:color w:val="000000"/>
                <w:sz w:val="20"/>
                <w:szCs w:val="22"/>
              </w:rPr>
              <w:t>14</w:t>
            </w:r>
          </w:p>
        </w:tc>
        <w:tc>
          <w:tcPr>
            <w:tcW w:w="1842" w:type="dxa"/>
            <w:shd w:val="clear" w:color="auto" w:fill="auto"/>
          </w:tcPr>
          <w:p w:rsidR="00DC78E9" w:rsidRPr="00E330E6" w:rsidRDefault="00E56C9A" w:rsidP="00105290">
            <w:pPr>
              <w:tabs>
                <w:tab w:val="left" w:pos="2160"/>
                <w:tab w:val="left" w:pos="6885"/>
              </w:tabs>
              <w:spacing w:after="60"/>
              <w:jc w:val="right"/>
              <w:rPr>
                <w:rFonts w:ascii="Arial" w:eastAsia="Arial Unicode MS" w:hAnsi="Arial" w:cs="Arial"/>
                <w:sz w:val="20"/>
                <w:szCs w:val="20"/>
              </w:rPr>
            </w:pPr>
            <w:r w:rsidRPr="00E330E6">
              <w:rPr>
                <w:rFonts w:ascii="Arial" w:eastAsia="Arial Unicode MS" w:hAnsi="Arial" w:cs="Arial"/>
                <w:sz w:val="20"/>
                <w:szCs w:val="20"/>
              </w:rPr>
              <w:t>56.3</w:t>
            </w:r>
          </w:p>
        </w:tc>
      </w:tr>
      <w:tr w:rsidR="00B368D6" w:rsidTr="00725FBA">
        <w:trPr>
          <w:trHeight w:val="431"/>
        </w:trPr>
        <w:tc>
          <w:tcPr>
            <w:tcW w:w="1843"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color w:val="000000"/>
                <w:sz w:val="20"/>
                <w:szCs w:val="22"/>
              </w:rPr>
              <w:t>(291.0)</w:t>
            </w:r>
          </w:p>
        </w:tc>
        <w:tc>
          <w:tcPr>
            <w:tcW w:w="5245" w:type="dxa"/>
            <w:shd w:val="clear" w:color="auto" w:fill="auto"/>
          </w:tcPr>
          <w:p w:rsidR="00DC78E9" w:rsidRPr="00F83792" w:rsidRDefault="00E56C9A" w:rsidP="00105290">
            <w:pPr>
              <w:tabs>
                <w:tab w:val="left" w:pos="2160"/>
                <w:tab w:val="left" w:pos="6885"/>
              </w:tabs>
              <w:spacing w:after="60"/>
              <w:rPr>
                <w:rFonts w:ascii="Arial" w:eastAsia="Arial Unicode MS" w:hAnsi="Arial" w:cs="Arial"/>
                <w:sz w:val="20"/>
                <w:szCs w:val="20"/>
              </w:rPr>
            </w:pPr>
            <w:r w:rsidRPr="00F83792">
              <w:rPr>
                <w:rFonts w:ascii="Arial" w:eastAsia="Arial Unicode MS" w:hAnsi="Arial" w:cs="Arial"/>
                <w:color w:val="000000"/>
                <w:sz w:val="20"/>
                <w:szCs w:val="22"/>
              </w:rPr>
              <w:t>Investment liabilities</w:t>
            </w:r>
          </w:p>
        </w:tc>
        <w:tc>
          <w:tcPr>
            <w:tcW w:w="709" w:type="dxa"/>
            <w:shd w:val="clear" w:color="auto" w:fill="auto"/>
          </w:tcPr>
          <w:p w:rsidR="00DC78E9" w:rsidRPr="00F83792" w:rsidRDefault="00E56C9A" w:rsidP="00105290">
            <w:pPr>
              <w:tabs>
                <w:tab w:val="left" w:pos="2160"/>
                <w:tab w:val="left" w:pos="6885"/>
              </w:tabs>
              <w:spacing w:after="60"/>
              <w:jc w:val="center"/>
              <w:rPr>
                <w:rFonts w:ascii="Arial" w:eastAsia="Arial Unicode MS" w:hAnsi="Arial" w:cs="Arial"/>
                <w:sz w:val="20"/>
                <w:szCs w:val="20"/>
                <w:highlight w:val="magenta"/>
              </w:rPr>
            </w:pPr>
            <w:r>
              <w:rPr>
                <w:rFonts w:ascii="Arial" w:eastAsia="Arial Unicode MS" w:hAnsi="Arial" w:cs="Arial"/>
                <w:color w:val="000000"/>
                <w:sz w:val="20"/>
                <w:szCs w:val="22"/>
              </w:rPr>
              <w:t>14</w:t>
            </w:r>
          </w:p>
        </w:tc>
        <w:tc>
          <w:tcPr>
            <w:tcW w:w="1842"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sz w:val="20"/>
                <w:szCs w:val="20"/>
              </w:rPr>
              <w:t>-</w:t>
            </w:r>
          </w:p>
        </w:tc>
      </w:tr>
      <w:tr w:rsidR="00B368D6" w:rsidTr="00105290">
        <w:trPr>
          <w:trHeight w:val="431"/>
        </w:trPr>
        <w:tc>
          <w:tcPr>
            <w:tcW w:w="1843" w:type="dxa"/>
            <w:shd w:val="clear" w:color="auto" w:fill="auto"/>
          </w:tcPr>
          <w:p w:rsidR="00C37DA9" w:rsidRPr="00F83792" w:rsidRDefault="00E56C9A" w:rsidP="00105290">
            <w:pPr>
              <w:tabs>
                <w:tab w:val="left" w:pos="2160"/>
                <w:tab w:val="left" w:pos="6885"/>
              </w:tabs>
              <w:spacing w:after="60"/>
              <w:jc w:val="right"/>
              <w:rPr>
                <w:rFonts w:ascii="Arial" w:eastAsia="Arial Unicode MS" w:hAnsi="Arial" w:cs="Arial"/>
                <w:b/>
                <w:color w:val="000000"/>
                <w:sz w:val="20"/>
                <w:szCs w:val="22"/>
              </w:rPr>
            </w:pPr>
            <w:r w:rsidRPr="00F83792">
              <w:rPr>
                <w:rFonts w:ascii="Arial" w:eastAsia="Arial Unicode MS" w:hAnsi="Arial" w:cs="Arial"/>
                <w:b/>
                <w:color w:val="000000"/>
                <w:sz w:val="20"/>
                <w:szCs w:val="22"/>
              </w:rPr>
              <w:t>6</w:t>
            </w:r>
            <w:r w:rsidRPr="00F83792">
              <w:rPr>
                <w:rFonts w:ascii="Arial" w:eastAsia="Arial Unicode MS" w:hAnsi="Arial" w:cs="Arial"/>
                <w:b/>
                <w:color w:val="000000"/>
                <w:sz w:val="20"/>
                <w:szCs w:val="22"/>
              </w:rPr>
              <w:t>,</w:t>
            </w:r>
            <w:r w:rsidRPr="00F83792">
              <w:rPr>
                <w:rFonts w:ascii="Arial" w:eastAsia="Arial Unicode MS" w:hAnsi="Arial" w:cs="Arial"/>
                <w:b/>
                <w:color w:val="000000"/>
                <w:sz w:val="20"/>
                <w:szCs w:val="22"/>
              </w:rPr>
              <w:t>027.3</w:t>
            </w:r>
          </w:p>
        </w:tc>
        <w:tc>
          <w:tcPr>
            <w:tcW w:w="5245" w:type="dxa"/>
            <w:shd w:val="clear" w:color="auto" w:fill="auto"/>
          </w:tcPr>
          <w:p w:rsidR="00C37DA9" w:rsidRPr="00F83792" w:rsidRDefault="00E56C9A" w:rsidP="00105290">
            <w:pPr>
              <w:tabs>
                <w:tab w:val="left" w:pos="2160"/>
                <w:tab w:val="left" w:pos="6885"/>
              </w:tabs>
              <w:spacing w:after="60"/>
              <w:rPr>
                <w:rFonts w:ascii="Arial" w:eastAsia="Arial Unicode MS" w:hAnsi="Arial" w:cs="Arial"/>
                <w:b/>
                <w:color w:val="000000"/>
                <w:sz w:val="20"/>
                <w:szCs w:val="22"/>
              </w:rPr>
            </w:pPr>
            <w:r w:rsidRPr="00F83792">
              <w:rPr>
                <w:rFonts w:ascii="Arial" w:eastAsia="Arial Unicode MS" w:hAnsi="Arial" w:cs="Arial"/>
                <w:b/>
                <w:color w:val="000000"/>
                <w:sz w:val="20"/>
                <w:szCs w:val="22"/>
              </w:rPr>
              <w:t>Total net investments</w:t>
            </w:r>
          </w:p>
        </w:tc>
        <w:tc>
          <w:tcPr>
            <w:tcW w:w="709" w:type="dxa"/>
            <w:shd w:val="clear" w:color="auto" w:fill="auto"/>
          </w:tcPr>
          <w:p w:rsidR="00C37DA9" w:rsidRPr="00F83792" w:rsidRDefault="00E56C9A" w:rsidP="00105290">
            <w:pPr>
              <w:tabs>
                <w:tab w:val="left" w:pos="2160"/>
                <w:tab w:val="left" w:pos="6885"/>
              </w:tabs>
              <w:spacing w:after="60"/>
              <w:jc w:val="center"/>
              <w:rPr>
                <w:rFonts w:ascii="Arial" w:eastAsia="Arial Unicode MS" w:hAnsi="Arial" w:cs="Arial"/>
                <w:color w:val="000000"/>
                <w:sz w:val="20"/>
                <w:szCs w:val="22"/>
                <w:highlight w:val="magenta"/>
              </w:rPr>
            </w:pPr>
          </w:p>
        </w:tc>
        <w:tc>
          <w:tcPr>
            <w:tcW w:w="1842" w:type="dxa"/>
            <w:shd w:val="clear" w:color="auto" w:fill="auto"/>
          </w:tcPr>
          <w:p w:rsidR="00C37DA9" w:rsidRPr="00F83792" w:rsidRDefault="00E56C9A" w:rsidP="00105290">
            <w:pPr>
              <w:tabs>
                <w:tab w:val="left" w:pos="2160"/>
                <w:tab w:val="left" w:pos="6885"/>
              </w:tabs>
              <w:spacing w:after="60"/>
              <w:jc w:val="right"/>
              <w:rPr>
                <w:rFonts w:ascii="Arial" w:eastAsia="Arial Unicode MS" w:hAnsi="Arial" w:cs="Arial"/>
                <w:b/>
                <w:sz w:val="20"/>
                <w:szCs w:val="20"/>
              </w:rPr>
            </w:pPr>
            <w:r w:rsidRPr="00F83792">
              <w:rPr>
                <w:rFonts w:ascii="Arial" w:eastAsia="Arial Unicode MS" w:hAnsi="Arial" w:cs="Arial"/>
                <w:b/>
                <w:sz w:val="20"/>
                <w:szCs w:val="20"/>
              </w:rPr>
              <w:t>7,191.4</w:t>
            </w:r>
          </w:p>
        </w:tc>
      </w:tr>
      <w:tr w:rsidR="00B368D6" w:rsidTr="00105290">
        <w:trPr>
          <w:trHeight w:val="431"/>
        </w:trPr>
        <w:tc>
          <w:tcPr>
            <w:tcW w:w="1843"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color w:val="000000"/>
                <w:sz w:val="20"/>
                <w:szCs w:val="22"/>
              </w:rPr>
              <w:t>27.7</w:t>
            </w:r>
          </w:p>
        </w:tc>
        <w:tc>
          <w:tcPr>
            <w:tcW w:w="5245" w:type="dxa"/>
            <w:shd w:val="clear" w:color="auto" w:fill="auto"/>
          </w:tcPr>
          <w:p w:rsidR="00DC78E9" w:rsidRPr="00F83792" w:rsidRDefault="00E56C9A" w:rsidP="00105290">
            <w:pPr>
              <w:tabs>
                <w:tab w:val="left" w:pos="2160"/>
                <w:tab w:val="left" w:pos="6885"/>
              </w:tabs>
              <w:spacing w:after="60"/>
              <w:rPr>
                <w:rFonts w:ascii="Arial" w:eastAsia="Arial Unicode MS" w:hAnsi="Arial" w:cs="Arial"/>
                <w:sz w:val="20"/>
                <w:szCs w:val="20"/>
              </w:rPr>
            </w:pPr>
            <w:r w:rsidRPr="00F83792">
              <w:rPr>
                <w:rFonts w:ascii="Arial" w:eastAsia="Arial Unicode MS" w:hAnsi="Arial" w:cs="Arial"/>
                <w:color w:val="000000"/>
                <w:sz w:val="20"/>
                <w:szCs w:val="22"/>
              </w:rPr>
              <w:t>Current assets</w:t>
            </w:r>
          </w:p>
        </w:tc>
        <w:tc>
          <w:tcPr>
            <w:tcW w:w="709" w:type="dxa"/>
            <w:shd w:val="clear" w:color="auto" w:fill="auto"/>
          </w:tcPr>
          <w:p w:rsidR="00DC78E9" w:rsidRPr="00F83792" w:rsidRDefault="00E56C9A" w:rsidP="00105290">
            <w:pPr>
              <w:tabs>
                <w:tab w:val="left" w:pos="2160"/>
                <w:tab w:val="left" w:pos="6885"/>
              </w:tabs>
              <w:spacing w:after="60"/>
              <w:jc w:val="center"/>
              <w:rPr>
                <w:rFonts w:ascii="Arial" w:eastAsia="Arial Unicode MS" w:hAnsi="Arial" w:cs="Arial"/>
                <w:sz w:val="20"/>
                <w:szCs w:val="20"/>
                <w:highlight w:val="magenta"/>
              </w:rPr>
            </w:pPr>
            <w:r>
              <w:rPr>
                <w:rFonts w:ascii="Arial" w:eastAsia="Arial Unicode MS" w:hAnsi="Arial" w:cs="Arial"/>
                <w:color w:val="000000"/>
                <w:sz w:val="20"/>
                <w:szCs w:val="22"/>
              </w:rPr>
              <w:t>20</w:t>
            </w:r>
          </w:p>
        </w:tc>
        <w:tc>
          <w:tcPr>
            <w:tcW w:w="1842"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sz w:val="20"/>
                <w:szCs w:val="20"/>
              </w:rPr>
              <w:t>30.7</w:t>
            </w:r>
          </w:p>
        </w:tc>
      </w:tr>
      <w:tr w:rsidR="00B368D6" w:rsidTr="00105290">
        <w:trPr>
          <w:trHeight w:val="431"/>
        </w:trPr>
        <w:tc>
          <w:tcPr>
            <w:tcW w:w="1843"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color w:val="000000"/>
                <w:sz w:val="20"/>
                <w:szCs w:val="22"/>
              </w:rPr>
              <w:t>(18.8)</w:t>
            </w:r>
          </w:p>
        </w:tc>
        <w:tc>
          <w:tcPr>
            <w:tcW w:w="5245" w:type="dxa"/>
            <w:shd w:val="clear" w:color="auto" w:fill="auto"/>
          </w:tcPr>
          <w:p w:rsidR="00DC78E9" w:rsidRPr="00F83792" w:rsidRDefault="00E56C9A" w:rsidP="00105290">
            <w:pPr>
              <w:tabs>
                <w:tab w:val="left" w:pos="2160"/>
                <w:tab w:val="left" w:pos="6885"/>
              </w:tabs>
              <w:spacing w:after="60"/>
              <w:rPr>
                <w:rFonts w:ascii="Arial" w:eastAsia="Arial Unicode MS" w:hAnsi="Arial" w:cs="Arial"/>
                <w:sz w:val="20"/>
                <w:szCs w:val="20"/>
              </w:rPr>
            </w:pPr>
            <w:r w:rsidRPr="00F83792">
              <w:rPr>
                <w:rFonts w:ascii="Arial" w:eastAsia="Arial Unicode MS" w:hAnsi="Arial" w:cs="Arial"/>
                <w:color w:val="000000"/>
                <w:sz w:val="20"/>
                <w:szCs w:val="22"/>
              </w:rPr>
              <w:t>Current liabilities</w:t>
            </w:r>
          </w:p>
        </w:tc>
        <w:tc>
          <w:tcPr>
            <w:tcW w:w="709" w:type="dxa"/>
            <w:shd w:val="clear" w:color="auto" w:fill="auto"/>
          </w:tcPr>
          <w:p w:rsidR="00DC78E9" w:rsidRPr="00F83792" w:rsidRDefault="00E56C9A" w:rsidP="00105290">
            <w:pPr>
              <w:tabs>
                <w:tab w:val="left" w:pos="2160"/>
                <w:tab w:val="left" w:pos="6885"/>
              </w:tabs>
              <w:spacing w:after="60"/>
              <w:jc w:val="center"/>
              <w:rPr>
                <w:rFonts w:ascii="Arial" w:eastAsia="Arial Unicode MS" w:hAnsi="Arial" w:cs="Arial"/>
                <w:sz w:val="20"/>
                <w:szCs w:val="20"/>
                <w:highlight w:val="magenta"/>
              </w:rPr>
            </w:pPr>
            <w:r>
              <w:rPr>
                <w:rFonts w:ascii="Arial" w:eastAsia="Arial Unicode MS" w:hAnsi="Arial" w:cs="Arial"/>
                <w:color w:val="000000"/>
                <w:sz w:val="20"/>
                <w:szCs w:val="22"/>
              </w:rPr>
              <w:t>21</w:t>
            </w:r>
          </w:p>
        </w:tc>
        <w:tc>
          <w:tcPr>
            <w:tcW w:w="1842"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sz w:val="20"/>
                <w:szCs w:val="20"/>
              </w:rPr>
              <w:t>(12.8)</w:t>
            </w:r>
          </w:p>
        </w:tc>
      </w:tr>
      <w:tr w:rsidR="00B368D6" w:rsidTr="00105290">
        <w:trPr>
          <w:trHeight w:val="431"/>
        </w:trPr>
        <w:tc>
          <w:tcPr>
            <w:tcW w:w="1843" w:type="dxa"/>
            <w:shd w:val="clear" w:color="auto" w:fill="E7E6E6" w:themeFill="background2"/>
            <w:vAlign w:val="center"/>
          </w:tcPr>
          <w:p w:rsidR="00DC78E9" w:rsidRPr="00F83792" w:rsidRDefault="00E56C9A" w:rsidP="00105290">
            <w:pPr>
              <w:tabs>
                <w:tab w:val="left" w:pos="2160"/>
                <w:tab w:val="left" w:pos="6885"/>
              </w:tabs>
              <w:spacing w:after="60"/>
              <w:jc w:val="right"/>
              <w:rPr>
                <w:rFonts w:ascii="Arial" w:eastAsia="Arial Unicode MS" w:hAnsi="Arial" w:cs="Arial"/>
                <w:sz w:val="20"/>
                <w:szCs w:val="20"/>
              </w:rPr>
            </w:pPr>
            <w:r w:rsidRPr="00F83792">
              <w:rPr>
                <w:rFonts w:ascii="Arial" w:eastAsia="Arial Unicode MS" w:hAnsi="Arial" w:cs="Arial"/>
                <w:b/>
                <w:color w:val="000000"/>
                <w:sz w:val="20"/>
                <w:szCs w:val="22"/>
              </w:rPr>
              <w:t>6,036.2</w:t>
            </w:r>
          </w:p>
        </w:tc>
        <w:tc>
          <w:tcPr>
            <w:tcW w:w="5245" w:type="dxa"/>
            <w:shd w:val="clear" w:color="auto" w:fill="E7E6E6" w:themeFill="background2"/>
            <w:vAlign w:val="center"/>
          </w:tcPr>
          <w:p w:rsidR="00DC78E9" w:rsidRPr="00F83792" w:rsidRDefault="00E56C9A" w:rsidP="009E35C6">
            <w:pPr>
              <w:tabs>
                <w:tab w:val="left" w:pos="2160"/>
                <w:tab w:val="left" w:pos="6885"/>
              </w:tabs>
              <w:spacing w:after="60"/>
              <w:rPr>
                <w:rFonts w:ascii="Arial" w:eastAsia="Arial Unicode MS" w:hAnsi="Arial" w:cs="Arial"/>
                <w:sz w:val="20"/>
                <w:szCs w:val="20"/>
              </w:rPr>
            </w:pPr>
            <w:r w:rsidRPr="00F83792">
              <w:rPr>
                <w:rFonts w:ascii="Arial" w:eastAsia="Arial Unicode MS" w:hAnsi="Arial" w:cs="Arial"/>
                <w:b/>
                <w:color w:val="000000"/>
                <w:sz w:val="20"/>
                <w:szCs w:val="22"/>
              </w:rPr>
              <w:t xml:space="preserve">Net assets of the </w:t>
            </w:r>
            <w:r>
              <w:rPr>
                <w:rFonts w:ascii="Arial" w:eastAsia="Arial Unicode MS" w:hAnsi="Arial" w:cs="Arial"/>
                <w:b/>
                <w:color w:val="000000"/>
                <w:sz w:val="20"/>
                <w:szCs w:val="22"/>
              </w:rPr>
              <w:t>F</w:t>
            </w:r>
            <w:r w:rsidRPr="00F83792">
              <w:rPr>
                <w:rFonts w:ascii="Arial" w:eastAsia="Arial Unicode MS" w:hAnsi="Arial" w:cs="Arial"/>
                <w:b/>
                <w:color w:val="000000"/>
                <w:sz w:val="20"/>
                <w:szCs w:val="22"/>
              </w:rPr>
              <w:t xml:space="preserve">und </w:t>
            </w:r>
            <w:r w:rsidRPr="00F83792">
              <w:rPr>
                <w:rFonts w:ascii="Arial" w:eastAsia="Arial Unicode MS" w:hAnsi="Arial" w:cs="Arial"/>
                <w:b/>
                <w:color w:val="000000"/>
                <w:sz w:val="20"/>
                <w:szCs w:val="22"/>
              </w:rPr>
              <w:t xml:space="preserve">available to fund benefits at the </w:t>
            </w:r>
            <w:r w:rsidRPr="00F83792">
              <w:rPr>
                <w:rFonts w:ascii="Arial" w:eastAsia="Arial Unicode MS" w:hAnsi="Arial" w:cs="Arial"/>
                <w:b/>
                <w:color w:val="000000"/>
                <w:sz w:val="20"/>
                <w:szCs w:val="22"/>
              </w:rPr>
              <w:t xml:space="preserve">at the </w:t>
            </w:r>
            <w:r>
              <w:rPr>
                <w:rFonts w:ascii="Arial" w:eastAsia="Arial Unicode MS" w:hAnsi="Arial" w:cs="Arial"/>
                <w:b/>
                <w:color w:val="000000"/>
                <w:sz w:val="20"/>
                <w:szCs w:val="22"/>
              </w:rPr>
              <w:t>period end</w:t>
            </w:r>
          </w:p>
        </w:tc>
        <w:tc>
          <w:tcPr>
            <w:tcW w:w="709" w:type="dxa"/>
            <w:shd w:val="clear" w:color="auto" w:fill="E7E6E6" w:themeFill="background2"/>
            <w:vAlign w:val="center"/>
          </w:tcPr>
          <w:p w:rsidR="00DC78E9" w:rsidRPr="00F83792" w:rsidRDefault="00E56C9A" w:rsidP="00105290">
            <w:pPr>
              <w:tabs>
                <w:tab w:val="left" w:pos="2160"/>
                <w:tab w:val="left" w:pos="6885"/>
              </w:tabs>
              <w:spacing w:after="60"/>
              <w:jc w:val="center"/>
              <w:rPr>
                <w:rFonts w:ascii="Arial" w:eastAsia="Arial Unicode MS" w:hAnsi="Arial" w:cs="Arial"/>
                <w:sz w:val="20"/>
                <w:szCs w:val="20"/>
              </w:rPr>
            </w:pPr>
          </w:p>
        </w:tc>
        <w:tc>
          <w:tcPr>
            <w:tcW w:w="1842" w:type="dxa"/>
            <w:shd w:val="clear" w:color="auto" w:fill="E7E6E6" w:themeFill="background2"/>
            <w:vAlign w:val="center"/>
          </w:tcPr>
          <w:p w:rsidR="00DC78E9" w:rsidRPr="00F83792" w:rsidRDefault="00E56C9A" w:rsidP="00105290">
            <w:pPr>
              <w:tabs>
                <w:tab w:val="left" w:pos="2160"/>
                <w:tab w:val="left" w:pos="6885"/>
              </w:tabs>
              <w:spacing w:after="60"/>
              <w:jc w:val="right"/>
              <w:rPr>
                <w:rFonts w:ascii="Arial" w:eastAsia="Arial Unicode MS" w:hAnsi="Arial" w:cs="Arial"/>
                <w:b/>
                <w:sz w:val="20"/>
                <w:szCs w:val="20"/>
              </w:rPr>
            </w:pPr>
            <w:r w:rsidRPr="00F83792">
              <w:rPr>
                <w:rFonts w:ascii="Arial" w:eastAsia="Arial Unicode MS" w:hAnsi="Arial" w:cs="Arial"/>
                <w:b/>
                <w:sz w:val="20"/>
                <w:szCs w:val="20"/>
              </w:rPr>
              <w:t>7,209.3</w:t>
            </w:r>
          </w:p>
        </w:tc>
      </w:tr>
    </w:tbl>
    <w:p w:rsidR="00DC78E9" w:rsidRPr="00F83792" w:rsidRDefault="00E56C9A" w:rsidP="00DC78E9">
      <w:pPr>
        <w:keepNext/>
        <w:autoSpaceDE w:val="0"/>
        <w:autoSpaceDN w:val="0"/>
        <w:adjustRightInd w:val="0"/>
        <w:jc w:val="both"/>
        <w:outlineLvl w:val="4"/>
        <w:rPr>
          <w:rFonts w:ascii="Arial" w:eastAsia="Arial Unicode MS" w:hAnsi="Arial" w:cs="Arial"/>
          <w:b/>
          <w:bCs/>
          <w:color w:val="000000"/>
          <w:sz w:val="22"/>
          <w:szCs w:val="22"/>
        </w:rPr>
      </w:pP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b/>
          <w:color w:val="000000"/>
          <w:sz w:val="22"/>
          <w:szCs w:val="22"/>
        </w:rPr>
        <w:t xml:space="preserve">Note: </w:t>
      </w:r>
      <w:r w:rsidRPr="00F83792">
        <w:rPr>
          <w:rFonts w:ascii="Arial" w:eastAsia="Arial Unicode MS" w:hAnsi="Arial" w:cs="Arial"/>
          <w:color w:val="000000"/>
          <w:sz w:val="22"/>
          <w:szCs w:val="22"/>
        </w:rPr>
        <w:t>The</w:t>
      </w:r>
      <w:r w:rsidRPr="00F83792">
        <w:rPr>
          <w:rFonts w:ascii="Arial" w:eastAsia="Arial Unicode MS" w:hAnsi="Arial" w:cs="Arial"/>
          <w:color w:val="000000"/>
          <w:sz w:val="22"/>
          <w:szCs w:val="22"/>
        </w:rPr>
        <w:t xml:space="preserve"> Fund's</w:t>
      </w:r>
      <w:r w:rsidRPr="00F83792">
        <w:rPr>
          <w:rFonts w:ascii="Arial" w:eastAsia="Arial Unicode MS" w:hAnsi="Arial" w:cs="Arial"/>
          <w:color w:val="000000"/>
          <w:sz w:val="22"/>
          <w:szCs w:val="22"/>
        </w:rPr>
        <w:t xml:space="preserve"> financial statements do not take account of liabilities to pay pensions and other benefits after the period end.</w:t>
      </w:r>
      <w:r w:rsidRPr="00F83792">
        <w:rPr>
          <w:rFonts w:ascii="Arial" w:eastAsia="Arial Unicode MS" w:hAnsi="Arial" w:cs="Arial"/>
          <w:color w:val="000000"/>
          <w:sz w:val="22"/>
          <w:szCs w:val="22"/>
        </w:rPr>
        <w:t xml:space="preserve">  The actuarial present value of promised retirement benefits is disclosed at note </w:t>
      </w:r>
      <w:r w:rsidRPr="00F83792">
        <w:rPr>
          <w:rFonts w:ascii="Arial" w:eastAsia="Arial Unicode MS" w:hAnsi="Arial" w:cs="Arial"/>
          <w:color w:val="000000"/>
          <w:sz w:val="22"/>
          <w:szCs w:val="22"/>
        </w:rPr>
        <w:t>2</w:t>
      </w:r>
      <w:r>
        <w:rPr>
          <w:rFonts w:ascii="Arial" w:eastAsia="Arial Unicode MS" w:hAnsi="Arial" w:cs="Arial"/>
          <w:color w:val="000000"/>
          <w:sz w:val="22"/>
          <w:szCs w:val="22"/>
        </w:rPr>
        <w:t>6</w:t>
      </w:r>
      <w:r w:rsidRPr="00F83792">
        <w:rPr>
          <w:rFonts w:ascii="Arial" w:eastAsia="Arial Unicode MS" w:hAnsi="Arial" w:cs="Arial"/>
          <w:color w:val="000000"/>
          <w:sz w:val="22"/>
          <w:szCs w:val="22"/>
        </w:rPr>
        <w:t>.</w:t>
      </w: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p>
    <w:p w:rsidR="00DC78E9" w:rsidRPr="00F83792" w:rsidRDefault="00E56C9A" w:rsidP="00DC78E9">
      <w:pPr>
        <w:keepNext/>
        <w:autoSpaceDE w:val="0"/>
        <w:autoSpaceDN w:val="0"/>
        <w:adjustRightInd w:val="0"/>
        <w:jc w:val="both"/>
        <w:outlineLvl w:val="2"/>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This statement of accounts is that upon which </w:t>
      </w:r>
      <w:r w:rsidRPr="00F83792">
        <w:rPr>
          <w:rFonts w:ascii="Arial" w:eastAsia="Arial Unicode MS" w:hAnsi="Arial" w:cs="Arial"/>
          <w:color w:val="000000"/>
          <w:sz w:val="22"/>
          <w:szCs w:val="22"/>
        </w:rPr>
        <w:t>the auditor should enter his certificate and opinion.  It presents fairly the position of the Lancashire County Pension Fund as at 31 March 2017 and its income and expenditure for the year then ended.</w:t>
      </w:r>
    </w:p>
    <w:p w:rsidR="00DC78E9" w:rsidRPr="00F83792" w:rsidRDefault="00E56C9A" w:rsidP="00DC78E9">
      <w:pPr>
        <w:autoSpaceDE w:val="0"/>
        <w:autoSpaceDN w:val="0"/>
        <w:adjustRightInd w:val="0"/>
        <w:jc w:val="both"/>
        <w:rPr>
          <w:rFonts w:ascii="Arial" w:eastAsia="Arial Unicode MS" w:hAnsi="Arial" w:cs="Arial"/>
          <w:sz w:val="22"/>
          <w:szCs w:val="22"/>
        </w:rPr>
      </w:pPr>
    </w:p>
    <w:p w:rsidR="00DC78E9" w:rsidRPr="00F83792" w:rsidRDefault="00E56C9A" w:rsidP="00DC78E9">
      <w:pPr>
        <w:autoSpaceDE w:val="0"/>
        <w:autoSpaceDN w:val="0"/>
        <w:adjustRightInd w:val="0"/>
        <w:jc w:val="both"/>
        <w:rPr>
          <w:rFonts w:ascii="Arial" w:eastAsia="Arial Unicode MS" w:hAnsi="Arial" w:cs="Arial"/>
          <w:sz w:val="22"/>
          <w:szCs w:val="22"/>
        </w:rPr>
      </w:pPr>
    </w:p>
    <w:p w:rsidR="00DC78E9" w:rsidRPr="00F83792" w:rsidRDefault="00E56C9A" w:rsidP="00DC78E9">
      <w:pPr>
        <w:autoSpaceDE w:val="0"/>
        <w:autoSpaceDN w:val="0"/>
        <w:adjustRightInd w:val="0"/>
        <w:jc w:val="both"/>
        <w:rPr>
          <w:rFonts w:ascii="Arial" w:eastAsia="Arial Unicode MS" w:hAnsi="Arial" w:cs="Arial"/>
          <w:sz w:val="22"/>
          <w:szCs w:val="22"/>
        </w:rPr>
      </w:pPr>
    </w:p>
    <w:p w:rsidR="00DC78E9" w:rsidRPr="00F83792" w:rsidRDefault="00E56C9A" w:rsidP="00DC78E9">
      <w:pPr>
        <w:autoSpaceDE w:val="0"/>
        <w:autoSpaceDN w:val="0"/>
        <w:adjustRightInd w:val="0"/>
        <w:jc w:val="both"/>
        <w:rPr>
          <w:rFonts w:ascii="Arial" w:eastAsia="Arial Unicode MS" w:hAnsi="Arial" w:cs="Arial"/>
          <w:sz w:val="22"/>
          <w:szCs w:val="22"/>
        </w:rPr>
      </w:pPr>
    </w:p>
    <w:p w:rsidR="00DC78E9" w:rsidRPr="00F83792" w:rsidRDefault="00E56C9A" w:rsidP="00DC78E9">
      <w:pPr>
        <w:autoSpaceDE w:val="0"/>
        <w:autoSpaceDN w:val="0"/>
        <w:adjustRightInd w:val="0"/>
        <w:jc w:val="both"/>
        <w:rPr>
          <w:rFonts w:ascii="Arial" w:eastAsia="Arial Unicode MS" w:hAnsi="Arial" w:cs="Arial"/>
          <w:sz w:val="22"/>
          <w:szCs w:val="22"/>
        </w:rPr>
      </w:pPr>
    </w:p>
    <w:p w:rsidR="00DC78E9" w:rsidRPr="00F83792" w:rsidRDefault="00E56C9A" w:rsidP="00DC78E9">
      <w:pPr>
        <w:autoSpaceDE w:val="0"/>
        <w:autoSpaceDN w:val="0"/>
        <w:adjustRightInd w:val="0"/>
        <w:jc w:val="both"/>
        <w:rPr>
          <w:rFonts w:ascii="Arial" w:eastAsia="Arial Unicode MS" w:hAnsi="Arial" w:cs="Arial"/>
          <w:sz w:val="22"/>
          <w:szCs w:val="22"/>
        </w:rPr>
      </w:pPr>
    </w:p>
    <w:tbl>
      <w:tblPr>
        <w:tblW w:w="0" w:type="auto"/>
        <w:tblLook w:val="04A0" w:firstRow="1" w:lastRow="0" w:firstColumn="1" w:lastColumn="0" w:noHBand="0" w:noVBand="1"/>
      </w:tblPr>
      <w:tblGrid>
        <w:gridCol w:w="4796"/>
        <w:gridCol w:w="4802"/>
      </w:tblGrid>
      <w:tr w:rsidR="00B368D6" w:rsidTr="00105290">
        <w:tc>
          <w:tcPr>
            <w:tcW w:w="4796" w:type="dxa"/>
          </w:tcPr>
          <w:p w:rsidR="00DC78E9" w:rsidRPr="00F83792" w:rsidRDefault="00E56C9A" w:rsidP="00105290">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Neil Kissock</w:t>
            </w:r>
            <w:r w:rsidRPr="00F83792">
              <w:rPr>
                <w:rFonts w:ascii="Arial" w:eastAsia="Arial Unicode MS" w:hAnsi="Arial" w:cs="Arial"/>
                <w:color w:val="000000"/>
                <w:sz w:val="22"/>
                <w:szCs w:val="22"/>
              </w:rPr>
              <w:tab/>
              <w:t xml:space="preserve"> </w:t>
            </w:r>
          </w:p>
        </w:tc>
        <w:tc>
          <w:tcPr>
            <w:tcW w:w="4802" w:type="dxa"/>
          </w:tcPr>
          <w:p w:rsidR="00DC78E9" w:rsidRPr="00F83792" w:rsidRDefault="00E56C9A" w:rsidP="00C24477">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County Councillor </w:t>
            </w:r>
            <w:r>
              <w:rPr>
                <w:rFonts w:ascii="Arial" w:eastAsia="Arial Unicode MS" w:hAnsi="Arial" w:cs="Arial"/>
                <w:color w:val="000000"/>
                <w:sz w:val="22"/>
                <w:szCs w:val="22"/>
              </w:rPr>
              <w:t>Alan Schofield</w:t>
            </w:r>
          </w:p>
        </w:tc>
      </w:tr>
      <w:tr w:rsidR="00B368D6" w:rsidTr="00105290">
        <w:tc>
          <w:tcPr>
            <w:tcW w:w="4796" w:type="dxa"/>
          </w:tcPr>
          <w:p w:rsidR="00DC78E9" w:rsidRPr="00F83792" w:rsidRDefault="00E56C9A" w:rsidP="00105290">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Director of Financial Resources</w:t>
            </w:r>
          </w:p>
        </w:tc>
        <w:tc>
          <w:tcPr>
            <w:tcW w:w="4802" w:type="dxa"/>
          </w:tcPr>
          <w:p w:rsidR="00DC78E9" w:rsidRPr="00F83792" w:rsidRDefault="00E56C9A" w:rsidP="00105290">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Chair of the Audit and Governance Committee</w:t>
            </w:r>
          </w:p>
        </w:tc>
      </w:tr>
    </w:tbl>
    <w:p w:rsidR="00DC78E9" w:rsidRPr="00F83792" w:rsidRDefault="00E56C9A" w:rsidP="00DC78E9">
      <w:pPr>
        <w:autoSpaceDE w:val="0"/>
        <w:autoSpaceDN w:val="0"/>
        <w:adjustRightInd w:val="0"/>
        <w:jc w:val="both"/>
        <w:rPr>
          <w:rFonts w:ascii="Arial" w:eastAsia="Arial Unicode MS" w:hAnsi="Arial" w:cs="Arial"/>
          <w:b/>
          <w:sz w:val="22"/>
          <w:szCs w:val="22"/>
        </w:rPr>
      </w:pPr>
    </w:p>
    <w:p w:rsidR="00DC78E9" w:rsidRPr="00F83792" w:rsidRDefault="00E56C9A" w:rsidP="00DC78E9">
      <w:pPr>
        <w:keepNext/>
        <w:autoSpaceDE w:val="0"/>
        <w:autoSpaceDN w:val="0"/>
        <w:adjustRightInd w:val="0"/>
        <w:jc w:val="both"/>
        <w:outlineLvl w:val="0"/>
        <w:rPr>
          <w:rFonts w:ascii="Arial" w:eastAsia="Arial Unicode MS" w:hAnsi="Arial" w:cs="Arial"/>
          <w:b/>
          <w:bCs/>
          <w:sz w:val="32"/>
          <w:szCs w:val="22"/>
          <w:lang w:eastAsia="en-GB"/>
        </w:rPr>
      </w:pPr>
      <w:r w:rsidRPr="00F83792">
        <w:rPr>
          <w:rFonts w:ascii="Arial" w:eastAsia="Arial Unicode MS" w:hAnsi="Arial" w:cs="Arial"/>
          <w:b/>
          <w:bCs/>
          <w:sz w:val="22"/>
          <w:szCs w:val="22"/>
          <w:lang w:eastAsia="en-GB"/>
        </w:rPr>
        <w:br w:type="page"/>
      </w:r>
      <w:r w:rsidRPr="00F83792">
        <w:rPr>
          <w:rFonts w:ascii="Arial" w:eastAsia="Arial Unicode MS" w:hAnsi="Arial" w:cs="Arial"/>
          <w:b/>
          <w:bCs/>
          <w:sz w:val="32"/>
          <w:szCs w:val="22"/>
          <w:lang w:eastAsia="en-GB"/>
        </w:rPr>
        <w:lastRenderedPageBreak/>
        <w:t>NOTES TO THE FINANCIAL STATEMENTS</w:t>
      </w:r>
    </w:p>
    <w:p w:rsidR="00DC78E9" w:rsidRPr="00F83792" w:rsidRDefault="00E56C9A" w:rsidP="00DC78E9">
      <w:pPr>
        <w:keepNext/>
        <w:autoSpaceDE w:val="0"/>
        <w:autoSpaceDN w:val="0"/>
        <w:adjustRightInd w:val="0"/>
        <w:jc w:val="both"/>
        <w:outlineLvl w:val="0"/>
        <w:rPr>
          <w:rFonts w:ascii="Arial" w:eastAsia="Arial Unicode MS" w:hAnsi="Arial" w:cs="Arial"/>
          <w:b/>
          <w:bCs/>
          <w:sz w:val="32"/>
          <w:szCs w:val="22"/>
          <w:lang w:eastAsia="en-GB"/>
        </w:rPr>
      </w:pPr>
    </w:p>
    <w:p w:rsidR="00DC78E9" w:rsidRPr="00F83792" w:rsidRDefault="00E56C9A" w:rsidP="00DC78E9">
      <w:pPr>
        <w:numPr>
          <w:ilvl w:val="0"/>
          <w:numId w:val="6"/>
        </w:numPr>
        <w:tabs>
          <w:tab w:val="num" w:pos="567"/>
          <w:tab w:val="num" w:pos="720"/>
        </w:tabs>
        <w:autoSpaceDE w:val="0"/>
        <w:autoSpaceDN w:val="0"/>
        <w:adjustRightInd w:val="0"/>
        <w:ind w:hanging="862"/>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 xml:space="preserve">PENSION FUND OPERATIONS AND MEMBERSHIP </w:t>
      </w:r>
    </w:p>
    <w:p w:rsidR="00DC78E9" w:rsidRPr="00F83792" w:rsidRDefault="00E56C9A" w:rsidP="00DC78E9">
      <w:pPr>
        <w:tabs>
          <w:tab w:val="num" w:pos="862"/>
        </w:tabs>
        <w:autoSpaceDE w:val="0"/>
        <w:autoSpaceDN w:val="0"/>
        <w:adjustRightInd w:val="0"/>
        <w:ind w:left="142"/>
        <w:jc w:val="both"/>
        <w:rPr>
          <w:rFonts w:ascii="Arial" w:eastAsia="Arial Unicode MS" w:hAnsi="Arial" w:cs="Arial"/>
          <w:b/>
          <w:color w:val="000000"/>
          <w:sz w:val="22"/>
          <w:szCs w:val="22"/>
        </w:rPr>
      </w:pP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The Lancashire County Pension Fund is part of the Local Government Pension Scheme and is administered by Lancashire County Council. The County Council is the reporting entity for this Pension Fund.  </w:t>
      </w:r>
    </w:p>
    <w:p w:rsidR="00DC78E9" w:rsidRPr="00F83792" w:rsidRDefault="00E56C9A" w:rsidP="00DC78E9">
      <w:pPr>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The published accounts show that in </w:t>
      </w:r>
      <w:r w:rsidRPr="00F83792">
        <w:rPr>
          <w:rFonts w:ascii="Arial" w:eastAsia="Arial Unicode MS" w:hAnsi="Arial" w:cs="Arial"/>
          <w:caps/>
          <w:color w:val="000000"/>
          <w:sz w:val="22"/>
          <w:szCs w:val="22"/>
        </w:rPr>
        <w:t>2016/17</w:t>
      </w:r>
      <w:r w:rsidRPr="00F83792">
        <w:rPr>
          <w:rFonts w:ascii="Arial" w:eastAsia="Arial Unicode MS" w:hAnsi="Arial" w:cs="Arial"/>
          <w:color w:val="000000"/>
          <w:sz w:val="22"/>
          <w:szCs w:val="22"/>
        </w:rPr>
        <w:t xml:space="preserve"> cash inflow</w:t>
      </w:r>
      <w:r w:rsidRPr="00F83792">
        <w:rPr>
          <w:rFonts w:ascii="Arial" w:eastAsia="Arial Unicode MS" w:hAnsi="Arial" w:cs="Arial"/>
          <w:color w:val="000000"/>
          <w:sz w:val="22"/>
          <w:szCs w:val="22"/>
        </w:rPr>
        <w:t xml:space="preserve">s during the year </w:t>
      </w:r>
      <w:r>
        <w:rPr>
          <w:rFonts w:ascii="Arial" w:eastAsia="Arial Unicode MS" w:hAnsi="Arial" w:cs="Arial"/>
          <w:color w:val="000000"/>
          <w:sz w:val="22"/>
          <w:szCs w:val="22"/>
        </w:rPr>
        <w:t>were £366.3</w:t>
      </w:r>
      <w:r>
        <w:rPr>
          <w:rFonts w:ascii="Arial" w:eastAsia="Arial Unicode MS" w:hAnsi="Arial" w:cs="Arial"/>
          <w:color w:val="000000"/>
          <w:sz w:val="22"/>
          <w:szCs w:val="22"/>
        </w:rPr>
        <w:t xml:space="preserve"> </w:t>
      </w:r>
      <w:r>
        <w:rPr>
          <w:rFonts w:ascii="Arial" w:eastAsia="Arial Unicode MS" w:hAnsi="Arial" w:cs="Arial"/>
          <w:color w:val="000000"/>
          <w:sz w:val="22"/>
          <w:szCs w:val="22"/>
        </w:rPr>
        <w:t>million</w:t>
      </w:r>
      <w:r w:rsidRPr="00F83792">
        <w:rPr>
          <w:rFonts w:ascii="Arial" w:eastAsia="Arial Unicode MS" w:hAnsi="Arial" w:cs="Arial"/>
          <w:color w:val="000000"/>
          <w:sz w:val="22"/>
          <w:szCs w:val="22"/>
        </w:rPr>
        <w:t xml:space="preserve"> and cash outflows were </w:t>
      </w:r>
      <w:r>
        <w:rPr>
          <w:rFonts w:ascii="Arial" w:eastAsia="Arial Unicode MS" w:hAnsi="Arial" w:cs="Arial"/>
          <w:color w:val="000000"/>
          <w:sz w:val="22"/>
          <w:szCs w:val="22"/>
        </w:rPr>
        <w:t>£326.4</w:t>
      </w:r>
      <w:r>
        <w:rPr>
          <w:rFonts w:ascii="Arial" w:eastAsia="Arial Unicode MS" w:hAnsi="Arial" w:cs="Arial"/>
          <w:color w:val="000000"/>
          <w:sz w:val="22"/>
          <w:szCs w:val="22"/>
        </w:rPr>
        <w:t xml:space="preserve"> </w:t>
      </w:r>
      <w:r w:rsidRPr="00F83792">
        <w:rPr>
          <w:rFonts w:ascii="Arial" w:eastAsia="Arial Unicode MS" w:hAnsi="Arial" w:cs="Arial"/>
          <w:color w:val="000000"/>
          <w:sz w:val="22"/>
          <w:szCs w:val="22"/>
        </w:rPr>
        <w:t xml:space="preserve">million, representing a net cash inflow of </w:t>
      </w:r>
      <w:r w:rsidRPr="0020587A">
        <w:rPr>
          <w:rFonts w:ascii="Arial" w:eastAsia="Arial Unicode MS" w:hAnsi="Arial" w:cs="Arial"/>
          <w:color w:val="000000"/>
          <w:sz w:val="22"/>
          <w:szCs w:val="22"/>
        </w:rPr>
        <w:t xml:space="preserve">£39.9 </w:t>
      </w:r>
      <w:r w:rsidRPr="0020587A">
        <w:rPr>
          <w:rFonts w:ascii="Arial" w:eastAsia="Arial Unicode MS" w:hAnsi="Arial" w:cs="Arial"/>
          <w:color w:val="000000"/>
          <w:sz w:val="22"/>
          <w:szCs w:val="22"/>
        </w:rPr>
        <w:t>million</w:t>
      </w:r>
      <w:r w:rsidRPr="00F83792">
        <w:rPr>
          <w:rFonts w:ascii="Arial" w:eastAsia="Arial Unicode MS" w:hAnsi="Arial" w:cs="Arial"/>
          <w:color w:val="000000"/>
          <w:sz w:val="22"/>
          <w:szCs w:val="22"/>
        </w:rPr>
        <w:t xml:space="preserve"> (compared with an </w:t>
      </w:r>
      <w:r w:rsidRPr="00F83792">
        <w:rPr>
          <w:rFonts w:ascii="Arial" w:eastAsia="Arial Unicode MS" w:hAnsi="Arial" w:cs="Arial"/>
          <w:color w:val="000000"/>
          <w:sz w:val="22"/>
          <w:szCs w:val="22"/>
        </w:rPr>
        <w:t>inflow of £39.6million</w:t>
      </w:r>
      <w:r w:rsidRPr="00F83792">
        <w:rPr>
          <w:rFonts w:ascii="Arial" w:eastAsia="Arial Unicode MS" w:hAnsi="Arial" w:cs="Arial"/>
          <w:color w:val="000000"/>
          <w:sz w:val="22"/>
          <w:szCs w:val="22"/>
        </w:rPr>
        <w:t xml:space="preserve"> in the previous year).  Benefits payable amounted to </w:t>
      </w:r>
      <w:r w:rsidRPr="00F83792">
        <w:rPr>
          <w:rFonts w:ascii="Arial" w:eastAsia="Arial Unicode MS" w:hAnsi="Arial" w:cs="Arial"/>
          <w:color w:val="000000"/>
          <w:sz w:val="22"/>
          <w:szCs w:val="22"/>
        </w:rPr>
        <w:t>£261.1</w:t>
      </w:r>
      <w:r>
        <w:rPr>
          <w:rFonts w:ascii="Arial" w:eastAsia="Arial Unicode MS" w:hAnsi="Arial" w:cs="Arial"/>
          <w:color w:val="000000"/>
          <w:sz w:val="22"/>
          <w:szCs w:val="22"/>
        </w:rPr>
        <w:t xml:space="preserve"> </w:t>
      </w:r>
      <w:r w:rsidRPr="00F83792">
        <w:rPr>
          <w:rFonts w:ascii="Arial" w:eastAsia="Arial Unicode MS" w:hAnsi="Arial" w:cs="Arial"/>
          <w:color w:val="000000"/>
          <w:sz w:val="22"/>
          <w:szCs w:val="22"/>
        </w:rPr>
        <w:t xml:space="preserve">million and were offset by net investment income of </w:t>
      </w:r>
      <w:r w:rsidRPr="00CF59E1">
        <w:rPr>
          <w:rFonts w:ascii="Arial" w:eastAsia="Arial Unicode MS" w:hAnsi="Arial" w:cs="Arial"/>
          <w:color w:val="000000"/>
          <w:sz w:val="22"/>
          <w:szCs w:val="22"/>
        </w:rPr>
        <w:t>£</w:t>
      </w:r>
      <w:r w:rsidRPr="00CF59E1">
        <w:rPr>
          <w:rFonts w:ascii="Arial" w:eastAsia="Arial Unicode MS" w:hAnsi="Arial" w:cs="Arial"/>
          <w:color w:val="000000"/>
          <w:sz w:val="22"/>
          <w:szCs w:val="22"/>
        </w:rPr>
        <w:t>109.</w:t>
      </w:r>
      <w:r>
        <w:rPr>
          <w:rFonts w:ascii="Arial" w:eastAsia="Arial Unicode MS" w:hAnsi="Arial" w:cs="Arial"/>
          <w:color w:val="000000"/>
          <w:sz w:val="22"/>
          <w:szCs w:val="22"/>
        </w:rPr>
        <w:t>9</w:t>
      </w:r>
      <w:r w:rsidRPr="00F83792">
        <w:rPr>
          <w:rFonts w:ascii="Arial" w:eastAsia="Arial Unicode MS" w:hAnsi="Arial" w:cs="Arial"/>
          <w:color w:val="000000"/>
          <w:sz w:val="22"/>
          <w:szCs w:val="22"/>
        </w:rPr>
        <w:t xml:space="preserve"> million</w:t>
      </w:r>
      <w:r>
        <w:rPr>
          <w:rFonts w:ascii="Arial" w:eastAsia="Arial Unicode MS" w:hAnsi="Arial" w:cs="Arial"/>
          <w:color w:val="000000"/>
          <w:sz w:val="22"/>
          <w:szCs w:val="22"/>
        </w:rPr>
        <w:t>,</w:t>
      </w:r>
      <w:r w:rsidRPr="00F83792">
        <w:rPr>
          <w:rFonts w:ascii="Arial" w:eastAsia="Arial Unicode MS" w:hAnsi="Arial" w:cs="Arial"/>
          <w:color w:val="000000"/>
          <w:sz w:val="22"/>
          <w:szCs w:val="22"/>
        </w:rPr>
        <w:t xml:space="preserve"> contributions of </w:t>
      </w:r>
      <w:r>
        <w:rPr>
          <w:rFonts w:ascii="Arial" w:eastAsia="Arial Unicode MS" w:hAnsi="Arial" w:cs="Arial"/>
          <w:color w:val="000000"/>
          <w:sz w:val="22"/>
          <w:szCs w:val="22"/>
        </w:rPr>
        <w:t>£245.5</w:t>
      </w:r>
      <w:r w:rsidRPr="00F83792">
        <w:rPr>
          <w:rFonts w:ascii="Arial" w:eastAsia="Arial Unicode MS" w:hAnsi="Arial" w:cs="Arial"/>
          <w:color w:val="000000"/>
          <w:sz w:val="22"/>
          <w:szCs w:val="22"/>
        </w:rPr>
        <w:t xml:space="preserve"> million and transfers in </w:t>
      </w:r>
      <w:r>
        <w:rPr>
          <w:rFonts w:ascii="Arial" w:eastAsia="Arial Unicode MS" w:hAnsi="Arial" w:cs="Arial"/>
          <w:color w:val="000000"/>
          <w:sz w:val="22"/>
          <w:szCs w:val="22"/>
        </w:rPr>
        <w:t>of £10.9</w:t>
      </w:r>
      <w:r w:rsidRPr="00F83792">
        <w:rPr>
          <w:rFonts w:ascii="Arial" w:eastAsia="Arial Unicode MS" w:hAnsi="Arial" w:cs="Arial"/>
          <w:color w:val="000000"/>
          <w:sz w:val="22"/>
          <w:szCs w:val="22"/>
        </w:rPr>
        <w:t xml:space="preserve"> million. </w:t>
      </w:r>
    </w:p>
    <w:p w:rsidR="00DC78E9" w:rsidRPr="00F83792" w:rsidRDefault="00E56C9A" w:rsidP="00DC78E9">
      <w:pPr>
        <w:autoSpaceDE w:val="0"/>
        <w:autoSpaceDN w:val="0"/>
        <w:adjustRightInd w:val="0"/>
        <w:ind w:left="567"/>
        <w:jc w:val="both"/>
        <w:rPr>
          <w:rFonts w:ascii="Arial" w:eastAsia="Arial Unicode MS" w:hAnsi="Arial" w:cs="Arial"/>
          <w:color w:val="000000"/>
          <w:sz w:val="22"/>
          <w:szCs w:val="22"/>
          <w:highlight w:val="magenta"/>
        </w:rPr>
      </w:pP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The following description of the Fund is a summary only.  For more detail, reference should be made to the Lancashire County Pension Fund Annual Report </w:t>
      </w:r>
      <w:r w:rsidRPr="00F83792">
        <w:rPr>
          <w:rFonts w:ascii="Arial" w:eastAsia="Arial Unicode MS" w:hAnsi="Arial" w:cs="Arial"/>
          <w:color w:val="000000"/>
          <w:sz w:val="22"/>
          <w:szCs w:val="22"/>
        </w:rPr>
        <w:t>2016/17</w:t>
      </w:r>
      <w:r w:rsidRPr="00F83792">
        <w:rPr>
          <w:rFonts w:ascii="Arial" w:eastAsia="Arial Unicode MS" w:hAnsi="Arial" w:cs="Arial"/>
          <w:color w:val="000000"/>
          <w:sz w:val="22"/>
          <w:szCs w:val="22"/>
        </w:rPr>
        <w:t xml:space="preserve"> and the underlying statutory powers underpinning the scheme, namely the Public Service Pensions </w:t>
      </w:r>
      <w:r w:rsidRPr="00F83792">
        <w:rPr>
          <w:rFonts w:ascii="Arial" w:eastAsia="Arial Unicode MS" w:hAnsi="Arial" w:cs="Arial"/>
          <w:color w:val="000000"/>
          <w:sz w:val="22"/>
          <w:szCs w:val="22"/>
        </w:rPr>
        <w:t>Act 2013 and the Local Government Pension Scheme (LGPS) regulations.</w:t>
      </w:r>
    </w:p>
    <w:p w:rsidR="00DC78E9" w:rsidRPr="00F83792" w:rsidRDefault="00E56C9A" w:rsidP="00DC78E9">
      <w:pPr>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numPr>
          <w:ilvl w:val="1"/>
          <w:numId w:val="12"/>
        </w:numPr>
        <w:autoSpaceDE w:val="0"/>
        <w:autoSpaceDN w:val="0"/>
        <w:adjustRightInd w:val="0"/>
        <w:ind w:left="567" w:hanging="567"/>
        <w:contextualSpacing/>
        <w:jc w:val="both"/>
        <w:rPr>
          <w:rFonts w:ascii="Arial" w:eastAsia="Arial Unicode MS" w:hAnsi="Arial" w:cs="Arial"/>
          <w:color w:val="000000"/>
          <w:sz w:val="32"/>
          <w:szCs w:val="22"/>
        </w:rPr>
      </w:pPr>
      <w:r w:rsidRPr="00F83792">
        <w:rPr>
          <w:rFonts w:ascii="Arial" w:eastAsia="Arial Unicode MS" w:hAnsi="Arial" w:cs="Arial"/>
          <w:b/>
          <w:color w:val="000000"/>
          <w:sz w:val="32"/>
          <w:szCs w:val="22"/>
        </w:rPr>
        <w:t xml:space="preserve"> General</w:t>
      </w:r>
    </w:p>
    <w:p w:rsidR="00DC78E9" w:rsidRPr="00F83792" w:rsidRDefault="00E56C9A" w:rsidP="00DC78E9">
      <w:pPr>
        <w:autoSpaceDE w:val="0"/>
        <w:autoSpaceDN w:val="0"/>
        <w:adjustRightInd w:val="0"/>
        <w:ind w:left="928"/>
        <w:contextualSpacing/>
        <w:jc w:val="both"/>
        <w:rPr>
          <w:rFonts w:ascii="Arial" w:eastAsia="Arial Unicode MS" w:hAnsi="Arial" w:cs="Arial"/>
          <w:color w:val="000000"/>
          <w:sz w:val="22"/>
          <w:szCs w:val="22"/>
        </w:rPr>
      </w:pP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The scheme is governed by the Public Service Pensions Act 2013.  The Fund is administered in accordance with the following secondary legislation:</w:t>
      </w:r>
    </w:p>
    <w:p w:rsidR="00DC78E9" w:rsidRPr="00F83792" w:rsidRDefault="00E56C9A" w:rsidP="00DC78E9">
      <w:pPr>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E56C9A">
      <w:pPr>
        <w:numPr>
          <w:ilvl w:val="0"/>
          <w:numId w:val="14"/>
        </w:numPr>
        <w:autoSpaceDE w:val="0"/>
        <w:autoSpaceDN w:val="0"/>
        <w:adjustRightInd w:val="0"/>
        <w:ind w:left="360"/>
        <w:contextualSpacing/>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the Local Government Pension </w:t>
      </w:r>
      <w:r w:rsidRPr="00F83792">
        <w:rPr>
          <w:rFonts w:ascii="Arial" w:eastAsia="Arial Unicode MS" w:hAnsi="Arial" w:cs="Arial"/>
          <w:color w:val="000000"/>
          <w:sz w:val="22"/>
          <w:szCs w:val="22"/>
        </w:rPr>
        <w:t>Scheme Regulations 2013 (as amended)</w:t>
      </w:r>
    </w:p>
    <w:p w:rsidR="00DC78E9" w:rsidRPr="00F83792" w:rsidRDefault="00E56C9A" w:rsidP="00E56C9A">
      <w:pPr>
        <w:numPr>
          <w:ilvl w:val="0"/>
          <w:numId w:val="14"/>
        </w:numPr>
        <w:autoSpaceDE w:val="0"/>
        <w:autoSpaceDN w:val="0"/>
        <w:adjustRightInd w:val="0"/>
        <w:ind w:left="360"/>
        <w:contextualSpacing/>
        <w:jc w:val="both"/>
        <w:rPr>
          <w:rFonts w:ascii="Arial" w:eastAsia="Arial Unicode MS" w:hAnsi="Arial" w:cs="Arial"/>
          <w:color w:val="000000"/>
          <w:sz w:val="22"/>
          <w:szCs w:val="22"/>
        </w:rPr>
      </w:pPr>
      <w:r w:rsidRPr="00F83792">
        <w:rPr>
          <w:rFonts w:ascii="Arial" w:eastAsia="Arial Unicode MS" w:hAnsi="Arial" w:cs="Arial"/>
          <w:color w:val="000000"/>
          <w:sz w:val="22"/>
          <w:szCs w:val="22"/>
        </w:rPr>
        <w:t>the Local Government Pension Scheme (Transitional Provisions, Savings and Amendment) Regulations 2014 (as amended)</w:t>
      </w:r>
    </w:p>
    <w:p w:rsidR="00DC78E9" w:rsidRPr="00F83792" w:rsidRDefault="00E56C9A" w:rsidP="00E56C9A">
      <w:pPr>
        <w:numPr>
          <w:ilvl w:val="0"/>
          <w:numId w:val="14"/>
        </w:numPr>
        <w:autoSpaceDE w:val="0"/>
        <w:autoSpaceDN w:val="0"/>
        <w:adjustRightInd w:val="0"/>
        <w:ind w:left="360"/>
        <w:contextualSpacing/>
        <w:jc w:val="both"/>
        <w:rPr>
          <w:rFonts w:ascii="Arial" w:eastAsia="Arial Unicode MS" w:hAnsi="Arial" w:cs="Arial"/>
          <w:color w:val="000000"/>
          <w:sz w:val="22"/>
          <w:szCs w:val="22"/>
        </w:rPr>
      </w:pPr>
      <w:proofErr w:type="gramStart"/>
      <w:r w:rsidRPr="00F83792">
        <w:rPr>
          <w:rFonts w:ascii="Arial" w:eastAsia="Arial Unicode MS" w:hAnsi="Arial" w:cs="Arial"/>
          <w:color w:val="000000"/>
          <w:sz w:val="22"/>
          <w:szCs w:val="22"/>
        </w:rPr>
        <w:t>the</w:t>
      </w:r>
      <w:proofErr w:type="gramEnd"/>
      <w:r w:rsidRPr="00F83792">
        <w:rPr>
          <w:rFonts w:ascii="Arial" w:eastAsia="Arial Unicode MS" w:hAnsi="Arial" w:cs="Arial"/>
          <w:color w:val="000000"/>
          <w:sz w:val="22"/>
          <w:szCs w:val="22"/>
        </w:rPr>
        <w:t xml:space="preserve"> Local Government Pension Scheme (Management and Investment of Funds) Regulations </w:t>
      </w:r>
      <w:r w:rsidRPr="00F83792">
        <w:rPr>
          <w:rFonts w:ascii="Arial" w:eastAsia="Arial Unicode MS" w:hAnsi="Arial" w:cs="Arial"/>
          <w:color w:val="000000"/>
          <w:sz w:val="22"/>
          <w:szCs w:val="22"/>
        </w:rPr>
        <w:t>2016.</w:t>
      </w:r>
    </w:p>
    <w:p w:rsidR="00DC78E9" w:rsidRPr="00F83792" w:rsidRDefault="00E56C9A" w:rsidP="00E56C9A">
      <w:pPr>
        <w:autoSpaceDE w:val="0"/>
        <w:autoSpaceDN w:val="0"/>
        <w:adjustRightInd w:val="0"/>
        <w:jc w:val="both"/>
        <w:rPr>
          <w:rFonts w:ascii="Arial" w:eastAsia="Arial Unicode MS" w:hAnsi="Arial" w:cs="Arial"/>
          <w:color w:val="000000"/>
          <w:sz w:val="22"/>
          <w:szCs w:val="22"/>
        </w:rPr>
      </w:pP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The Fund is </w:t>
      </w:r>
      <w:r w:rsidRPr="00F83792">
        <w:rPr>
          <w:rFonts w:ascii="Arial" w:eastAsia="Arial Unicode MS" w:hAnsi="Arial" w:cs="Arial"/>
          <w:color w:val="000000"/>
          <w:sz w:val="22"/>
          <w:szCs w:val="22"/>
        </w:rPr>
        <w:t>a contributory defined benefit pension scheme administered by Lancashire County Council to provide pensions and other benefits for pensionable employees of Lancashire County Council, the district councils in Lancashire and a range of other scheduled and ad</w:t>
      </w:r>
      <w:r w:rsidRPr="00F83792">
        <w:rPr>
          <w:rFonts w:ascii="Arial" w:eastAsia="Arial Unicode MS" w:hAnsi="Arial" w:cs="Arial"/>
          <w:color w:val="000000"/>
          <w:sz w:val="22"/>
          <w:szCs w:val="22"/>
        </w:rPr>
        <w:t>mitted bodies within the county area.  Teachers, police officers and fire-fighters are not included within the Fund as they come within other national pension schemes.</w:t>
      </w: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p>
    <w:p w:rsidR="00DC78E9" w:rsidRDefault="00E56C9A" w:rsidP="00DC78E9">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The Fund is overseen by the Lancashire Pension Fund Committee, which </w:t>
      </w:r>
      <w:r>
        <w:rPr>
          <w:rFonts w:ascii="Arial" w:eastAsia="Arial Unicode MS" w:hAnsi="Arial" w:cs="Arial"/>
          <w:color w:val="000000"/>
          <w:sz w:val="22"/>
          <w:szCs w:val="22"/>
        </w:rPr>
        <w:t>reports directly t</w:t>
      </w:r>
      <w:r>
        <w:rPr>
          <w:rFonts w:ascii="Arial" w:eastAsia="Arial Unicode MS" w:hAnsi="Arial" w:cs="Arial"/>
          <w:color w:val="000000"/>
          <w:sz w:val="22"/>
          <w:szCs w:val="22"/>
        </w:rPr>
        <w:t>o Full Council.  The Head of Fund is designated as the officer responsible for the management of the Fund.</w:t>
      </w:r>
    </w:p>
    <w:p w:rsidR="00E54314" w:rsidRDefault="00E56C9A" w:rsidP="00DC78E9">
      <w:pPr>
        <w:autoSpaceDE w:val="0"/>
        <w:autoSpaceDN w:val="0"/>
        <w:adjustRightInd w:val="0"/>
        <w:jc w:val="both"/>
        <w:rPr>
          <w:rFonts w:ascii="Arial" w:eastAsia="Arial Unicode MS" w:hAnsi="Arial" w:cs="Arial"/>
          <w:color w:val="000000"/>
          <w:sz w:val="22"/>
          <w:szCs w:val="22"/>
        </w:rPr>
      </w:pPr>
    </w:p>
    <w:p w:rsidR="00E54314" w:rsidRDefault="00E56C9A" w:rsidP="00DC78E9">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t>The Pension Fund Committee comprises fourteen County Councillors and seven voting co-</w:t>
      </w:r>
      <w:proofErr w:type="spellStart"/>
      <w:r>
        <w:rPr>
          <w:rFonts w:ascii="Arial" w:eastAsia="Arial Unicode MS" w:hAnsi="Arial" w:cs="Arial"/>
          <w:color w:val="000000"/>
          <w:sz w:val="22"/>
          <w:szCs w:val="22"/>
        </w:rPr>
        <w:t>optees</w:t>
      </w:r>
      <w:proofErr w:type="spellEnd"/>
      <w:r>
        <w:rPr>
          <w:rFonts w:ascii="Arial" w:eastAsia="Arial Unicode MS" w:hAnsi="Arial" w:cs="Arial"/>
          <w:color w:val="000000"/>
          <w:sz w:val="22"/>
          <w:szCs w:val="22"/>
        </w:rPr>
        <w:t xml:space="preserve"> representing the further and higher education sectors, t</w:t>
      </w:r>
      <w:r>
        <w:rPr>
          <w:rFonts w:ascii="Arial" w:eastAsia="Arial Unicode MS" w:hAnsi="Arial" w:cs="Arial"/>
          <w:color w:val="000000"/>
          <w:sz w:val="22"/>
          <w:szCs w:val="22"/>
        </w:rPr>
        <w:t xml:space="preserve">he Lancashire borough, district and city councils, Blackburn with </w:t>
      </w:r>
      <w:proofErr w:type="spellStart"/>
      <w:r>
        <w:rPr>
          <w:rFonts w:ascii="Arial" w:eastAsia="Arial Unicode MS" w:hAnsi="Arial" w:cs="Arial"/>
          <w:color w:val="000000"/>
          <w:sz w:val="22"/>
          <w:szCs w:val="22"/>
        </w:rPr>
        <w:t>Darwen</w:t>
      </w:r>
      <w:proofErr w:type="spellEnd"/>
      <w:r>
        <w:rPr>
          <w:rFonts w:ascii="Arial" w:eastAsia="Arial Unicode MS" w:hAnsi="Arial" w:cs="Arial"/>
          <w:color w:val="000000"/>
          <w:sz w:val="22"/>
          <w:szCs w:val="22"/>
        </w:rPr>
        <w:t xml:space="preserve"> Council, Blackpool Council and trade unions.</w:t>
      </w:r>
    </w:p>
    <w:p w:rsidR="00E54314" w:rsidRDefault="00E56C9A" w:rsidP="00DC78E9">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br/>
        <w:t xml:space="preserve">The Committee meets at least quarterly, or otherwise as necessary, with the Investment Panel in attendance and is responsible for </w:t>
      </w:r>
      <w:r>
        <w:rPr>
          <w:rFonts w:ascii="Arial" w:eastAsia="Arial Unicode MS" w:hAnsi="Arial" w:cs="Arial"/>
          <w:color w:val="000000"/>
          <w:sz w:val="22"/>
          <w:szCs w:val="22"/>
        </w:rPr>
        <w:t>fulfilling the role of Scheme Manager ( which includes the administration of benefits and strategic management of Fund investments and liabilities), the establishment of policies for investment management, the monitoring and review of investment activity a</w:t>
      </w:r>
      <w:r>
        <w:rPr>
          <w:rFonts w:ascii="Arial" w:eastAsia="Arial Unicode MS" w:hAnsi="Arial" w:cs="Arial"/>
          <w:color w:val="000000"/>
          <w:sz w:val="22"/>
          <w:szCs w:val="22"/>
        </w:rPr>
        <w:t>nd Fund performance and the presentation of an annual report to Full Council on the state of the Fund and investment activities for the year.</w:t>
      </w:r>
    </w:p>
    <w:p w:rsidR="00E54314" w:rsidRDefault="00E56C9A" w:rsidP="00DC78E9">
      <w:pPr>
        <w:autoSpaceDE w:val="0"/>
        <w:autoSpaceDN w:val="0"/>
        <w:adjustRightInd w:val="0"/>
        <w:jc w:val="both"/>
        <w:rPr>
          <w:rFonts w:ascii="Arial" w:eastAsia="Arial Unicode MS" w:hAnsi="Arial" w:cs="Arial"/>
          <w:color w:val="000000"/>
          <w:sz w:val="22"/>
          <w:szCs w:val="22"/>
        </w:rPr>
      </w:pPr>
    </w:p>
    <w:p w:rsidR="00E54314" w:rsidRDefault="00E56C9A" w:rsidP="00DC78E9">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t>The Investment Panel provides professional expert advice</w:t>
      </w:r>
      <w:r>
        <w:rPr>
          <w:rFonts w:ascii="Arial" w:eastAsia="Arial Unicode MS" w:hAnsi="Arial" w:cs="Arial"/>
          <w:color w:val="000000"/>
          <w:sz w:val="22"/>
          <w:szCs w:val="22"/>
        </w:rPr>
        <w:t xml:space="preserve"> and makes recommendations</w:t>
      </w:r>
      <w:r>
        <w:rPr>
          <w:rFonts w:ascii="Arial" w:eastAsia="Arial Unicode MS" w:hAnsi="Arial" w:cs="Arial"/>
          <w:color w:val="000000"/>
          <w:sz w:val="22"/>
          <w:szCs w:val="22"/>
        </w:rPr>
        <w:t xml:space="preserve"> to the Committee in relation to investment strategy.  The </w:t>
      </w:r>
      <w:r>
        <w:rPr>
          <w:rFonts w:ascii="Arial" w:eastAsia="Arial Unicode MS" w:hAnsi="Arial" w:cs="Arial"/>
          <w:color w:val="000000"/>
          <w:sz w:val="22"/>
          <w:szCs w:val="22"/>
        </w:rPr>
        <w:t xml:space="preserve">Panel comprises the Head of Fund as Chair and two independent advisers. </w:t>
      </w:r>
    </w:p>
    <w:p w:rsidR="006D0AE9" w:rsidRDefault="00E56C9A" w:rsidP="00DC78E9">
      <w:pPr>
        <w:autoSpaceDE w:val="0"/>
        <w:autoSpaceDN w:val="0"/>
        <w:adjustRightInd w:val="0"/>
        <w:jc w:val="both"/>
        <w:rPr>
          <w:rFonts w:ascii="Arial" w:eastAsia="Arial Unicode MS" w:hAnsi="Arial" w:cs="Arial"/>
          <w:color w:val="000000"/>
          <w:sz w:val="22"/>
          <w:szCs w:val="22"/>
        </w:rPr>
      </w:pPr>
    </w:p>
    <w:p w:rsidR="006D0AE9" w:rsidRPr="00F83792" w:rsidRDefault="00E56C9A" w:rsidP="006D0AE9">
      <w:pPr>
        <w:autoSpaceDE w:val="0"/>
        <w:autoSpaceDN w:val="0"/>
        <w:adjustRightInd w:val="0"/>
        <w:jc w:val="both"/>
        <w:rPr>
          <w:rFonts w:ascii="Arial" w:eastAsia="Arial Unicode MS" w:hAnsi="Arial" w:cs="Arial"/>
          <w:color w:val="0000FF"/>
          <w:sz w:val="22"/>
          <w:szCs w:val="22"/>
          <w:u w:val="single"/>
        </w:rPr>
      </w:pPr>
      <w:r>
        <w:rPr>
          <w:rFonts w:ascii="Arial" w:eastAsia="Arial Unicode MS" w:hAnsi="Arial" w:cs="Arial"/>
          <w:color w:val="000000"/>
          <w:sz w:val="22"/>
          <w:szCs w:val="22"/>
        </w:rPr>
        <w:t>Full details of the responsibilities of the Panel and Committee are published in the Investment Strategy Statement which is</w:t>
      </w:r>
      <w:r>
        <w:rPr>
          <w:rFonts w:ascii="Arial" w:eastAsia="Arial Unicode MS" w:hAnsi="Arial" w:cs="Arial"/>
          <w:color w:val="000000"/>
          <w:sz w:val="22"/>
          <w:szCs w:val="22"/>
        </w:rPr>
        <w:t xml:space="preserve"> available from the Fund website at </w:t>
      </w:r>
      <w:hyperlink r:id="rId8" w:history="1">
        <w:r w:rsidRPr="00F83792">
          <w:rPr>
            <w:rFonts w:ascii="Arial" w:eastAsia="Arial Unicode MS" w:hAnsi="Arial" w:cs="Arial"/>
            <w:color w:val="0000FF"/>
            <w:sz w:val="22"/>
            <w:szCs w:val="22"/>
            <w:u w:val="single"/>
          </w:rPr>
          <w:t>Your Pension Service - Lancashire Fund Information</w:t>
        </w:r>
      </w:hyperlink>
    </w:p>
    <w:p w:rsidR="00DC78E9" w:rsidRPr="00F83792" w:rsidRDefault="00E56C9A" w:rsidP="00DC78E9">
      <w:pPr>
        <w:autoSpaceDE w:val="0"/>
        <w:autoSpaceDN w:val="0"/>
        <w:adjustRightInd w:val="0"/>
        <w:jc w:val="both"/>
        <w:rPr>
          <w:rFonts w:ascii="Arial" w:eastAsia="Arial Unicode MS" w:hAnsi="Arial" w:cs="Arial"/>
          <w:color w:val="000000"/>
          <w:sz w:val="22"/>
          <w:szCs w:val="22"/>
        </w:rPr>
      </w:pPr>
    </w:p>
    <w:p w:rsidR="00CD01CC" w:rsidRPr="00F615E2" w:rsidRDefault="00E56C9A" w:rsidP="00DC78E9">
      <w:pPr>
        <w:autoSpaceDE w:val="0"/>
        <w:autoSpaceDN w:val="0"/>
        <w:adjustRightInd w:val="0"/>
        <w:jc w:val="both"/>
        <w:rPr>
          <w:rFonts w:ascii="Arial" w:eastAsia="Arial Unicode MS" w:hAnsi="Arial" w:cs="Arial"/>
          <w:color w:val="000000"/>
          <w:sz w:val="22"/>
          <w:szCs w:val="22"/>
        </w:rPr>
      </w:pPr>
      <w:r w:rsidRPr="00F615E2">
        <w:rPr>
          <w:rFonts w:ascii="Arial" w:eastAsia="Arial Unicode MS" w:hAnsi="Arial" w:cs="Arial"/>
          <w:color w:val="000000"/>
          <w:sz w:val="22"/>
          <w:szCs w:val="22"/>
        </w:rPr>
        <w:lastRenderedPageBreak/>
        <w:t>The investments of the Fund are managed by external investm</w:t>
      </w:r>
      <w:r w:rsidRPr="00F615E2">
        <w:rPr>
          <w:rFonts w:ascii="Arial" w:eastAsia="Arial Unicode MS" w:hAnsi="Arial" w:cs="Arial"/>
          <w:color w:val="000000"/>
          <w:sz w:val="22"/>
          <w:szCs w:val="22"/>
        </w:rPr>
        <w:t>ent managers, including the Local Pensions Partnership</w:t>
      </w:r>
      <w:r w:rsidRPr="00F615E2">
        <w:rPr>
          <w:rFonts w:ascii="Arial" w:eastAsia="Arial Unicode MS" w:hAnsi="Arial" w:cs="Arial"/>
          <w:color w:val="000000"/>
          <w:sz w:val="22"/>
          <w:szCs w:val="22"/>
        </w:rPr>
        <w:t xml:space="preserve"> (LPP)</w:t>
      </w:r>
      <w:r w:rsidRPr="00F615E2">
        <w:rPr>
          <w:rFonts w:ascii="Arial" w:eastAsia="Arial Unicode MS" w:hAnsi="Arial" w:cs="Arial"/>
          <w:color w:val="000000"/>
          <w:sz w:val="22"/>
          <w:szCs w:val="22"/>
        </w:rPr>
        <w:t>, a joint venture established with effect from 8 April 2016 and owned, in equal shares, by Lancashire County Council and the London Pension Fund Authority</w:t>
      </w:r>
      <w:r w:rsidRPr="00F615E2">
        <w:rPr>
          <w:rFonts w:ascii="Arial" w:eastAsia="Arial Unicode MS" w:hAnsi="Arial" w:cs="Arial"/>
          <w:color w:val="000000"/>
          <w:sz w:val="22"/>
          <w:szCs w:val="22"/>
        </w:rPr>
        <w:t xml:space="preserve"> (LPFA)</w:t>
      </w:r>
      <w:r w:rsidRPr="00F615E2">
        <w:rPr>
          <w:rFonts w:ascii="Arial" w:eastAsia="Arial Unicode MS" w:hAnsi="Arial" w:cs="Arial"/>
          <w:color w:val="000000"/>
          <w:sz w:val="22"/>
          <w:szCs w:val="22"/>
        </w:rPr>
        <w:t xml:space="preserve">.  </w:t>
      </w:r>
      <w:r w:rsidRPr="00F615E2">
        <w:rPr>
          <w:rFonts w:ascii="Arial" w:eastAsia="Arial Unicode MS" w:hAnsi="Arial" w:cs="Arial"/>
          <w:color w:val="000000"/>
          <w:sz w:val="22"/>
          <w:szCs w:val="22"/>
        </w:rPr>
        <w:t>LPP manages the administration a</w:t>
      </w:r>
      <w:r w:rsidRPr="00F615E2">
        <w:rPr>
          <w:rFonts w:ascii="Arial" w:eastAsia="Arial Unicode MS" w:hAnsi="Arial" w:cs="Arial"/>
          <w:color w:val="000000"/>
          <w:sz w:val="22"/>
          <w:szCs w:val="22"/>
        </w:rPr>
        <w:t>nd investment functions on behalf of the two partner authorities.</w:t>
      </w:r>
    </w:p>
    <w:p w:rsidR="00CD01CC" w:rsidRPr="00F615E2" w:rsidRDefault="00E56C9A" w:rsidP="00DC78E9">
      <w:pPr>
        <w:autoSpaceDE w:val="0"/>
        <w:autoSpaceDN w:val="0"/>
        <w:adjustRightInd w:val="0"/>
        <w:jc w:val="both"/>
        <w:rPr>
          <w:rFonts w:ascii="Arial" w:eastAsia="Arial Unicode MS" w:hAnsi="Arial" w:cs="Arial"/>
          <w:color w:val="000000"/>
          <w:sz w:val="22"/>
          <w:szCs w:val="22"/>
        </w:rPr>
      </w:pPr>
    </w:p>
    <w:p w:rsidR="00DC78E9" w:rsidRPr="00F615E2" w:rsidRDefault="00E56C9A" w:rsidP="00DC78E9">
      <w:pPr>
        <w:jc w:val="both"/>
        <w:rPr>
          <w:rFonts w:ascii="Arial" w:eastAsia="Arial Unicode MS" w:hAnsi="Arial" w:cs="Arial"/>
          <w:sz w:val="22"/>
        </w:rPr>
      </w:pPr>
      <w:r w:rsidRPr="00F615E2">
        <w:rPr>
          <w:rFonts w:ascii="Arial" w:eastAsia="Arial Unicode MS" w:hAnsi="Arial" w:cs="Arial"/>
          <w:sz w:val="22"/>
        </w:rPr>
        <w:t xml:space="preserve">The </w:t>
      </w:r>
      <w:r w:rsidRPr="00F615E2">
        <w:rPr>
          <w:rFonts w:ascii="Arial" w:eastAsia="Arial Unicode MS" w:hAnsi="Arial" w:cs="Arial"/>
          <w:sz w:val="22"/>
        </w:rPr>
        <w:t xml:space="preserve">administration and investment management </w:t>
      </w:r>
      <w:r w:rsidRPr="00F615E2">
        <w:rPr>
          <w:rFonts w:ascii="Arial" w:eastAsia="Arial Unicode MS" w:hAnsi="Arial" w:cs="Arial"/>
          <w:sz w:val="22"/>
        </w:rPr>
        <w:t>staff involved in the operation of the two funds transferred to the new organisation</w:t>
      </w:r>
      <w:r w:rsidRPr="00F615E2">
        <w:rPr>
          <w:rFonts w:ascii="Arial" w:eastAsia="Arial Unicode MS" w:hAnsi="Arial" w:cs="Arial"/>
          <w:sz w:val="22"/>
        </w:rPr>
        <w:t xml:space="preserve"> on</w:t>
      </w:r>
      <w:r w:rsidRPr="00F615E2">
        <w:rPr>
          <w:rFonts w:ascii="Arial" w:eastAsia="Arial Unicode MS" w:hAnsi="Arial" w:cs="Arial"/>
          <w:sz w:val="22"/>
        </w:rPr>
        <w:t xml:space="preserve"> 8 April 2016 and the investment operations within the company received regulatory approval from the Financial Conduct Authority on 11 April</w:t>
      </w:r>
      <w:r w:rsidRPr="00F615E2">
        <w:rPr>
          <w:rFonts w:ascii="Arial" w:eastAsia="Arial Unicode MS" w:hAnsi="Arial" w:cs="Arial"/>
          <w:sz w:val="22"/>
        </w:rPr>
        <w:t xml:space="preserve"> 2016.</w:t>
      </w:r>
    </w:p>
    <w:p w:rsidR="00DC78E9" w:rsidRPr="00F83792" w:rsidRDefault="00E56C9A" w:rsidP="00DC78E9">
      <w:pPr>
        <w:autoSpaceDE w:val="0"/>
        <w:autoSpaceDN w:val="0"/>
        <w:adjustRightInd w:val="0"/>
        <w:ind w:left="567"/>
        <w:jc w:val="both"/>
        <w:rPr>
          <w:rFonts w:ascii="Arial" w:eastAsia="Arial Unicode MS" w:hAnsi="Arial" w:cs="Arial"/>
          <w:color w:val="0000FF"/>
          <w:sz w:val="20"/>
          <w:szCs w:val="22"/>
          <w:u w:val="single"/>
        </w:rPr>
      </w:pPr>
    </w:p>
    <w:p w:rsidR="00DC78E9" w:rsidRPr="00F83792" w:rsidRDefault="00E56C9A" w:rsidP="00DC78E9">
      <w:pPr>
        <w:numPr>
          <w:ilvl w:val="1"/>
          <w:numId w:val="12"/>
        </w:numPr>
        <w:autoSpaceDE w:val="0"/>
        <w:autoSpaceDN w:val="0"/>
        <w:adjustRightInd w:val="0"/>
        <w:ind w:left="567" w:hanging="567"/>
        <w:contextualSpacing/>
        <w:jc w:val="both"/>
        <w:rPr>
          <w:rFonts w:ascii="Arial" w:eastAsia="Arial Unicode MS" w:hAnsi="Arial" w:cs="Arial"/>
          <w:color w:val="000000"/>
          <w:sz w:val="32"/>
          <w:szCs w:val="22"/>
        </w:rPr>
      </w:pPr>
      <w:r w:rsidRPr="00F83792">
        <w:rPr>
          <w:rFonts w:ascii="Arial" w:eastAsia="Arial Unicode MS" w:hAnsi="Arial" w:cs="Arial"/>
          <w:b/>
          <w:color w:val="000000"/>
          <w:sz w:val="32"/>
          <w:szCs w:val="22"/>
        </w:rPr>
        <w:t xml:space="preserve">  Membership</w:t>
      </w:r>
    </w:p>
    <w:p w:rsidR="00DC78E9" w:rsidRPr="00F83792" w:rsidRDefault="00E56C9A" w:rsidP="00DC78E9">
      <w:pPr>
        <w:autoSpaceDE w:val="0"/>
        <w:autoSpaceDN w:val="0"/>
        <w:adjustRightInd w:val="0"/>
        <w:ind w:left="928"/>
        <w:contextualSpacing/>
        <w:jc w:val="both"/>
        <w:rPr>
          <w:rFonts w:ascii="Arial" w:eastAsia="Arial Unicode MS" w:hAnsi="Arial" w:cs="Arial"/>
          <w:color w:val="000000"/>
          <w:sz w:val="22"/>
          <w:szCs w:val="22"/>
        </w:rPr>
      </w:pPr>
    </w:p>
    <w:p w:rsidR="00DC78E9" w:rsidRPr="00F83792" w:rsidRDefault="00E56C9A" w:rsidP="00DC78E9">
      <w:pPr>
        <w:autoSpaceDE w:val="0"/>
        <w:autoSpaceDN w:val="0"/>
        <w:adjustRightInd w:val="0"/>
        <w:contextualSpacing/>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Membership of the LGPS </w:t>
      </w:r>
      <w:r w:rsidRPr="00F83792">
        <w:rPr>
          <w:rFonts w:ascii="Arial" w:eastAsia="Arial Unicode MS" w:hAnsi="Arial" w:cs="Arial"/>
          <w:color w:val="000000"/>
          <w:sz w:val="22"/>
          <w:szCs w:val="22"/>
        </w:rPr>
        <w:t>is</w:t>
      </w:r>
      <w:r w:rsidRPr="00F83792">
        <w:rPr>
          <w:rFonts w:ascii="Arial" w:eastAsia="Arial Unicode MS" w:hAnsi="Arial" w:cs="Arial"/>
          <w:iCs/>
          <w:color w:val="000000"/>
          <w:sz w:val="22"/>
          <w:szCs w:val="22"/>
        </w:rPr>
        <w:t xml:space="preserve"> </w:t>
      </w:r>
      <w:r w:rsidRPr="00F83792">
        <w:rPr>
          <w:rFonts w:ascii="Arial" w:eastAsia="Arial Unicode MS" w:hAnsi="Arial" w:cs="Arial"/>
          <w:iCs/>
          <w:sz w:val="22"/>
          <w:szCs w:val="22"/>
        </w:rPr>
        <w:t xml:space="preserve">automatic although </w:t>
      </w:r>
      <w:r w:rsidRPr="00F83792">
        <w:rPr>
          <w:rFonts w:ascii="Arial" w:eastAsia="Arial Unicode MS" w:hAnsi="Arial" w:cs="Arial"/>
          <w:iCs/>
          <w:color w:val="000000"/>
          <w:sz w:val="22"/>
          <w:szCs w:val="22"/>
        </w:rPr>
        <w:t xml:space="preserve">employees are free to </w:t>
      </w:r>
      <w:r w:rsidRPr="00F83792">
        <w:rPr>
          <w:rFonts w:ascii="Arial" w:eastAsia="Arial Unicode MS" w:hAnsi="Arial" w:cs="Arial"/>
          <w:iCs/>
          <w:sz w:val="22"/>
          <w:szCs w:val="22"/>
        </w:rPr>
        <w:t xml:space="preserve">opt out of the </w:t>
      </w:r>
      <w:r w:rsidRPr="00F83792">
        <w:rPr>
          <w:rFonts w:ascii="Arial" w:eastAsia="Arial Unicode MS" w:hAnsi="Arial" w:cs="Arial"/>
          <w:iCs/>
          <w:color w:val="000000"/>
          <w:sz w:val="22"/>
          <w:szCs w:val="22"/>
        </w:rPr>
        <w:t>scheme</w:t>
      </w:r>
      <w:r w:rsidRPr="00F83792">
        <w:rPr>
          <w:rFonts w:ascii="Arial" w:eastAsia="Arial Unicode MS" w:hAnsi="Arial" w:cs="Arial"/>
          <w:color w:val="000000"/>
          <w:sz w:val="22"/>
          <w:szCs w:val="22"/>
        </w:rPr>
        <w:t xml:space="preserve">, </w:t>
      </w:r>
      <w:r w:rsidRPr="00F83792">
        <w:rPr>
          <w:rFonts w:ascii="Arial" w:eastAsia="Arial Unicode MS" w:hAnsi="Arial" w:cs="Arial"/>
          <w:color w:val="000000"/>
          <w:sz w:val="22"/>
          <w:szCs w:val="22"/>
        </w:rPr>
        <w:t>remain in the scheme or make their own personal arrangements outside the scheme.</w:t>
      </w:r>
      <w:r w:rsidRPr="00F83792">
        <w:rPr>
          <w:rFonts w:ascii="Arial" w:eastAsia="Arial Unicode MS" w:hAnsi="Arial" w:cs="Arial"/>
          <w:color w:val="000000"/>
          <w:sz w:val="22"/>
          <w:szCs w:val="22"/>
        </w:rPr>
        <w:t xml:space="preserve"> </w:t>
      </w:r>
      <w:r w:rsidRPr="00F83792">
        <w:rPr>
          <w:rFonts w:ascii="Arial" w:eastAsia="Arial Unicode MS" w:hAnsi="Arial" w:cs="Arial"/>
          <w:color w:val="000000"/>
          <w:sz w:val="22"/>
          <w:szCs w:val="22"/>
        </w:rPr>
        <w:t>Employees</w:t>
      </w:r>
      <w:r w:rsidRPr="00F83792">
        <w:rPr>
          <w:rFonts w:ascii="Arial" w:eastAsia="Arial Unicode MS" w:hAnsi="Arial" w:cs="Arial"/>
          <w:color w:val="000000"/>
          <w:sz w:val="22"/>
          <w:szCs w:val="22"/>
        </w:rPr>
        <w:t xml:space="preserve"> are re-enrolled every 3 years under the government's auto-enrolment regulations.</w:t>
      </w:r>
    </w:p>
    <w:p w:rsidR="00DC78E9" w:rsidRPr="00F83792" w:rsidRDefault="00E56C9A" w:rsidP="00DC78E9">
      <w:pPr>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Organisations participating in the Lancashire County Pension Fund include:</w:t>
      </w: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p>
    <w:p w:rsidR="00DC78E9" w:rsidRPr="00F83792" w:rsidRDefault="00E56C9A" w:rsidP="00DC78E9">
      <w:pPr>
        <w:numPr>
          <w:ilvl w:val="0"/>
          <w:numId w:val="9"/>
        </w:numPr>
        <w:autoSpaceDE w:val="0"/>
        <w:autoSpaceDN w:val="0"/>
        <w:adjustRightInd w:val="0"/>
        <w:contextualSpacing/>
        <w:jc w:val="both"/>
        <w:rPr>
          <w:rFonts w:ascii="Arial" w:eastAsia="Arial Unicode MS" w:hAnsi="Arial" w:cs="Arial"/>
          <w:color w:val="000000"/>
          <w:sz w:val="22"/>
          <w:szCs w:val="22"/>
        </w:rPr>
      </w:pPr>
      <w:r w:rsidRPr="00F83792">
        <w:rPr>
          <w:rFonts w:ascii="Arial" w:eastAsia="Arial Unicode MS" w:hAnsi="Arial" w:cs="Arial"/>
          <w:color w:val="000000"/>
          <w:sz w:val="22"/>
          <w:szCs w:val="22"/>
        </w:rPr>
        <w:t>Scheduled bodies, which are local authorities and similar bodies whose staff are automatically entitled to be members of the Fund.</w:t>
      </w:r>
    </w:p>
    <w:p w:rsidR="00DC78E9" w:rsidRPr="00F83792" w:rsidRDefault="00E56C9A" w:rsidP="00DC78E9">
      <w:pPr>
        <w:autoSpaceDE w:val="0"/>
        <w:autoSpaceDN w:val="0"/>
        <w:adjustRightInd w:val="0"/>
        <w:ind w:left="1287"/>
        <w:contextualSpacing/>
        <w:jc w:val="both"/>
        <w:rPr>
          <w:rFonts w:ascii="Arial" w:eastAsia="Arial Unicode MS" w:hAnsi="Arial" w:cs="Arial"/>
          <w:color w:val="000000"/>
          <w:sz w:val="22"/>
          <w:szCs w:val="22"/>
        </w:rPr>
      </w:pPr>
    </w:p>
    <w:p w:rsidR="00DC78E9" w:rsidRPr="00F83792" w:rsidRDefault="00E56C9A" w:rsidP="00DC78E9">
      <w:pPr>
        <w:numPr>
          <w:ilvl w:val="0"/>
          <w:numId w:val="9"/>
        </w:numPr>
        <w:autoSpaceDE w:val="0"/>
        <w:autoSpaceDN w:val="0"/>
        <w:adjustRightInd w:val="0"/>
        <w:contextualSpacing/>
        <w:jc w:val="both"/>
        <w:rPr>
          <w:rFonts w:ascii="Arial" w:eastAsia="Arial Unicode MS" w:hAnsi="Arial" w:cs="Arial"/>
          <w:color w:val="000000"/>
          <w:sz w:val="22"/>
          <w:szCs w:val="22"/>
        </w:rPr>
      </w:pPr>
      <w:r w:rsidRPr="00F83792">
        <w:rPr>
          <w:rFonts w:ascii="Arial" w:eastAsia="Arial Unicode MS" w:hAnsi="Arial" w:cs="Arial"/>
          <w:color w:val="000000"/>
          <w:sz w:val="22"/>
          <w:szCs w:val="22"/>
        </w:rPr>
        <w:t>Admitted bodies, which are other organisations that participate in the Fund under an admission agreement between the Fund an</w:t>
      </w:r>
      <w:r w:rsidRPr="00F83792">
        <w:rPr>
          <w:rFonts w:ascii="Arial" w:eastAsia="Arial Unicode MS" w:hAnsi="Arial" w:cs="Arial"/>
          <w:color w:val="000000"/>
          <w:sz w:val="22"/>
          <w:szCs w:val="22"/>
        </w:rPr>
        <w:t>d the relevant organisation.  Admitted bodies include voluntary, charitable and similar bodies or private contractors undertaking a local authority function following outsourcing to the private sector.</w:t>
      </w:r>
    </w:p>
    <w:p w:rsidR="00DC78E9" w:rsidRPr="00F83792" w:rsidRDefault="00E56C9A" w:rsidP="00DC78E9">
      <w:pPr>
        <w:autoSpaceDE w:val="0"/>
        <w:autoSpaceDN w:val="0"/>
        <w:adjustRightInd w:val="0"/>
        <w:ind w:left="720"/>
        <w:contextualSpacing/>
        <w:jc w:val="both"/>
        <w:rPr>
          <w:rFonts w:ascii="Arial" w:eastAsia="Arial Unicode MS" w:hAnsi="Arial" w:cs="Arial"/>
          <w:color w:val="000000"/>
          <w:sz w:val="22"/>
          <w:szCs w:val="22"/>
        </w:rPr>
      </w:pPr>
    </w:p>
    <w:p w:rsidR="00DC78E9" w:rsidRPr="00F83792" w:rsidRDefault="00E56C9A" w:rsidP="00DC78E9">
      <w:pPr>
        <w:autoSpaceDE w:val="0"/>
        <w:autoSpaceDN w:val="0"/>
        <w:adjustRightInd w:val="0"/>
        <w:contextualSpacing/>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There </w:t>
      </w:r>
      <w:r w:rsidRPr="00F83792">
        <w:rPr>
          <w:rFonts w:ascii="Arial" w:eastAsia="Arial Unicode MS" w:hAnsi="Arial" w:cs="Arial"/>
          <w:color w:val="000000"/>
          <w:sz w:val="22"/>
          <w:szCs w:val="22"/>
        </w:rPr>
        <w:t>are 413</w:t>
      </w:r>
      <w:r w:rsidRPr="00F83792">
        <w:rPr>
          <w:rFonts w:ascii="Arial" w:eastAsia="Arial Unicode MS" w:hAnsi="Arial" w:cs="Arial"/>
          <w:color w:val="000000"/>
          <w:sz w:val="22"/>
          <w:szCs w:val="22"/>
        </w:rPr>
        <w:t xml:space="preserve"> </w:t>
      </w:r>
      <w:r w:rsidRPr="00F83792">
        <w:rPr>
          <w:rFonts w:ascii="Arial" w:eastAsia="Arial Unicode MS" w:hAnsi="Arial" w:cs="Arial"/>
          <w:color w:val="000000"/>
          <w:sz w:val="22"/>
          <w:szCs w:val="22"/>
        </w:rPr>
        <w:t>employer organisations (</w:t>
      </w:r>
      <w:r w:rsidRPr="00F83792">
        <w:rPr>
          <w:rFonts w:ascii="Arial" w:eastAsia="Arial Unicode MS" w:hAnsi="Arial" w:cs="Arial"/>
          <w:color w:val="000000"/>
          <w:sz w:val="22"/>
          <w:szCs w:val="22"/>
        </w:rPr>
        <w:t>2015/16</w:t>
      </w:r>
      <w:r w:rsidRPr="00F83792">
        <w:rPr>
          <w:rFonts w:ascii="Arial" w:eastAsia="Arial Unicode MS" w:hAnsi="Arial" w:cs="Arial"/>
          <w:color w:val="000000"/>
          <w:sz w:val="22"/>
          <w:szCs w:val="22"/>
        </w:rPr>
        <w:t xml:space="preserve">: </w:t>
      </w:r>
      <w:r w:rsidRPr="00F83792">
        <w:rPr>
          <w:rFonts w:ascii="Arial" w:eastAsia="Arial Unicode MS" w:hAnsi="Arial" w:cs="Arial"/>
          <w:color w:val="000000"/>
          <w:sz w:val="22"/>
          <w:szCs w:val="22"/>
        </w:rPr>
        <w:t xml:space="preserve">369 </w:t>
      </w:r>
      <w:r w:rsidRPr="00F83792">
        <w:rPr>
          <w:rFonts w:ascii="Arial" w:eastAsia="Arial Unicode MS" w:hAnsi="Arial" w:cs="Arial"/>
          <w:color w:val="000000"/>
          <w:sz w:val="22"/>
          <w:szCs w:val="22"/>
        </w:rPr>
        <w:t>em</w:t>
      </w:r>
      <w:r w:rsidRPr="00F83792">
        <w:rPr>
          <w:rFonts w:ascii="Arial" w:eastAsia="Arial Unicode MS" w:hAnsi="Arial" w:cs="Arial"/>
          <w:color w:val="000000"/>
          <w:sz w:val="22"/>
          <w:szCs w:val="22"/>
        </w:rPr>
        <w:t xml:space="preserve">ployer organisations) within Lancashire County Pension Fund including the County Council itself, of which </w:t>
      </w:r>
      <w:r w:rsidRPr="00F83792">
        <w:rPr>
          <w:rFonts w:ascii="Arial" w:eastAsia="Arial Unicode MS" w:hAnsi="Arial" w:cs="Arial"/>
          <w:color w:val="000000"/>
          <w:sz w:val="22"/>
          <w:szCs w:val="22"/>
        </w:rPr>
        <w:t>287</w:t>
      </w:r>
      <w:r w:rsidRPr="00F83792">
        <w:rPr>
          <w:rFonts w:ascii="Arial" w:eastAsia="Arial Unicode MS" w:hAnsi="Arial" w:cs="Arial"/>
          <w:color w:val="000000"/>
          <w:sz w:val="22"/>
          <w:szCs w:val="22"/>
        </w:rPr>
        <w:t xml:space="preserve"> have active members (201</w:t>
      </w:r>
      <w:r w:rsidRPr="00F83792">
        <w:rPr>
          <w:rFonts w:ascii="Arial" w:eastAsia="Arial Unicode MS" w:hAnsi="Arial" w:cs="Arial"/>
          <w:color w:val="000000"/>
          <w:sz w:val="22"/>
          <w:szCs w:val="22"/>
        </w:rPr>
        <w:t>5/16</w:t>
      </w:r>
      <w:r w:rsidRPr="00F83792">
        <w:rPr>
          <w:rFonts w:ascii="Arial" w:eastAsia="Arial Unicode MS" w:hAnsi="Arial" w:cs="Arial"/>
          <w:color w:val="000000"/>
          <w:sz w:val="22"/>
          <w:szCs w:val="22"/>
        </w:rPr>
        <w:t xml:space="preserve">: </w:t>
      </w:r>
      <w:r w:rsidRPr="00F83792">
        <w:rPr>
          <w:rFonts w:ascii="Arial" w:eastAsia="Arial Unicode MS" w:hAnsi="Arial" w:cs="Arial"/>
          <w:color w:val="000000"/>
          <w:sz w:val="22"/>
          <w:szCs w:val="22"/>
        </w:rPr>
        <w:t>261</w:t>
      </w:r>
      <w:r w:rsidRPr="00F83792">
        <w:rPr>
          <w:rFonts w:ascii="Arial" w:eastAsia="Arial Unicode MS" w:hAnsi="Arial" w:cs="Arial"/>
          <w:color w:val="000000"/>
          <w:sz w:val="22"/>
          <w:szCs w:val="22"/>
        </w:rPr>
        <w:t>) as detailed below:</w:t>
      </w:r>
    </w:p>
    <w:p w:rsidR="00DC78E9" w:rsidRPr="00F83792" w:rsidRDefault="00E56C9A" w:rsidP="00DC78E9">
      <w:pPr>
        <w:autoSpaceDE w:val="0"/>
        <w:autoSpaceDN w:val="0"/>
        <w:adjustRightInd w:val="0"/>
        <w:ind w:left="567"/>
        <w:contextualSpacing/>
        <w:jc w:val="both"/>
        <w:rPr>
          <w:rFonts w:ascii="Arial" w:eastAsia="Arial Unicode MS" w:hAnsi="Arial" w:cs="Arial"/>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431"/>
        </w:trPr>
        <w:tc>
          <w:tcPr>
            <w:tcW w:w="1717" w:type="dxa"/>
            <w:shd w:val="clear" w:color="auto" w:fill="E7E6E6" w:themeFill="background2"/>
          </w:tcPr>
          <w:p w:rsidR="00DC78E9" w:rsidRPr="00F83792" w:rsidRDefault="00E56C9A" w:rsidP="00F615E2">
            <w:pPr>
              <w:tabs>
                <w:tab w:val="left" w:pos="717"/>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31 March 2016</w:t>
            </w:r>
          </w:p>
        </w:tc>
        <w:tc>
          <w:tcPr>
            <w:tcW w:w="6221" w:type="dxa"/>
            <w:shd w:val="clear" w:color="auto" w:fill="E7E6E6" w:themeFill="background2"/>
          </w:tcPr>
          <w:p w:rsidR="00DC78E9" w:rsidRPr="00F83792" w:rsidRDefault="00E56C9A" w:rsidP="00105290">
            <w:pPr>
              <w:rPr>
                <w:rFonts w:ascii="Arial" w:eastAsia="Arial Unicode MS" w:hAnsi="Arial" w:cs="Arial"/>
                <w:b/>
                <w:sz w:val="20"/>
                <w:szCs w:val="18"/>
              </w:rPr>
            </w:pPr>
            <w:r w:rsidRPr="00F83792">
              <w:rPr>
                <w:rFonts w:ascii="Arial" w:eastAsia="Arial Unicode MS" w:hAnsi="Arial" w:cs="Arial"/>
                <w:b/>
                <w:color w:val="000000"/>
                <w:sz w:val="20"/>
                <w:szCs w:val="22"/>
              </w:rPr>
              <w:t>Lancashire County Pension Fund</w:t>
            </w:r>
          </w:p>
        </w:tc>
        <w:tc>
          <w:tcPr>
            <w:tcW w:w="1701" w:type="dxa"/>
            <w:shd w:val="clear" w:color="auto" w:fill="E7E6E6" w:themeFill="background2"/>
          </w:tcPr>
          <w:p w:rsidR="00DC78E9" w:rsidRPr="00F83792" w:rsidRDefault="00E56C9A" w:rsidP="00F615E2">
            <w:pPr>
              <w:tabs>
                <w:tab w:val="left" w:pos="719"/>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31 March 2017</w:t>
            </w:r>
          </w:p>
        </w:tc>
      </w:tr>
      <w:tr w:rsidR="00B368D6" w:rsidTr="00105290">
        <w:trPr>
          <w:trHeight w:val="431"/>
        </w:trPr>
        <w:tc>
          <w:tcPr>
            <w:tcW w:w="1717"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2"/>
              </w:rPr>
              <w:t>369</w:t>
            </w:r>
          </w:p>
        </w:tc>
        <w:tc>
          <w:tcPr>
            <w:tcW w:w="6221" w:type="dxa"/>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2"/>
              </w:rPr>
              <w:t xml:space="preserve">Total number of employers </w:t>
            </w:r>
          </w:p>
        </w:tc>
        <w:tc>
          <w:tcPr>
            <w:tcW w:w="1701"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413</w:t>
            </w:r>
          </w:p>
        </w:tc>
      </w:tr>
      <w:tr w:rsidR="00B368D6" w:rsidTr="00105290">
        <w:trPr>
          <w:trHeight w:val="431"/>
        </w:trPr>
        <w:tc>
          <w:tcPr>
            <w:tcW w:w="1717"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2"/>
              </w:rPr>
              <w:t>261</w:t>
            </w:r>
          </w:p>
        </w:tc>
        <w:tc>
          <w:tcPr>
            <w:tcW w:w="6221" w:type="dxa"/>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2"/>
              </w:rPr>
              <w:t>Number of employers with active members</w:t>
            </w:r>
          </w:p>
        </w:tc>
        <w:tc>
          <w:tcPr>
            <w:tcW w:w="1701"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287</w:t>
            </w:r>
          </w:p>
        </w:tc>
      </w:tr>
      <w:tr w:rsidR="00B368D6" w:rsidTr="00105290">
        <w:trPr>
          <w:trHeight w:val="431"/>
        </w:trPr>
        <w:tc>
          <w:tcPr>
            <w:tcW w:w="1717"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p>
        </w:tc>
        <w:tc>
          <w:tcPr>
            <w:tcW w:w="6221" w:type="dxa"/>
            <w:shd w:val="clear" w:color="auto" w:fill="E7E6E6" w:themeFill="background2"/>
          </w:tcPr>
          <w:p w:rsidR="00DC78E9" w:rsidRPr="00F83792" w:rsidRDefault="00E56C9A" w:rsidP="00105290">
            <w:pPr>
              <w:tabs>
                <w:tab w:val="left" w:pos="1455"/>
                <w:tab w:val="left" w:pos="5040"/>
                <w:tab w:val="left" w:pos="6885"/>
              </w:tabs>
              <w:spacing w:after="120"/>
              <w:jc w:val="both"/>
              <w:rPr>
                <w:rFonts w:ascii="Arial" w:eastAsia="Arial Unicode MS" w:hAnsi="Arial" w:cs="Arial"/>
                <w:b/>
                <w:sz w:val="20"/>
                <w:szCs w:val="18"/>
              </w:rPr>
            </w:pPr>
            <w:r w:rsidRPr="00F83792">
              <w:rPr>
                <w:rFonts w:ascii="Arial" w:eastAsia="Arial Unicode MS" w:hAnsi="Arial" w:cs="Arial"/>
                <w:b/>
                <w:color w:val="000000"/>
                <w:sz w:val="20"/>
                <w:szCs w:val="22"/>
              </w:rPr>
              <w:t>Number of active scheme members</w:t>
            </w:r>
          </w:p>
        </w:tc>
        <w:tc>
          <w:tcPr>
            <w:tcW w:w="1701"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p>
        </w:tc>
      </w:tr>
      <w:tr w:rsidR="00B368D6" w:rsidTr="00105290">
        <w:trPr>
          <w:trHeight w:val="431"/>
        </w:trPr>
        <w:tc>
          <w:tcPr>
            <w:tcW w:w="1717"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2"/>
              </w:rPr>
              <w:t>27,106</w:t>
            </w:r>
          </w:p>
        </w:tc>
        <w:tc>
          <w:tcPr>
            <w:tcW w:w="6221" w:type="dxa"/>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2"/>
              </w:rPr>
              <w:t>County Council</w:t>
            </w:r>
          </w:p>
        </w:tc>
        <w:tc>
          <w:tcPr>
            <w:tcW w:w="1701"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26,416</w:t>
            </w:r>
          </w:p>
        </w:tc>
      </w:tr>
      <w:tr w:rsidR="00B368D6" w:rsidTr="00105290">
        <w:trPr>
          <w:trHeight w:val="431"/>
        </w:trPr>
        <w:tc>
          <w:tcPr>
            <w:tcW w:w="1717"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2"/>
              </w:rPr>
              <w:t>29,223</w:t>
            </w:r>
          </w:p>
        </w:tc>
        <w:tc>
          <w:tcPr>
            <w:tcW w:w="6221" w:type="dxa"/>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2"/>
              </w:rPr>
              <w:t>Other employers</w:t>
            </w:r>
          </w:p>
        </w:tc>
        <w:tc>
          <w:tcPr>
            <w:tcW w:w="1701"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29,499</w:t>
            </w:r>
          </w:p>
        </w:tc>
      </w:tr>
      <w:tr w:rsidR="00B368D6" w:rsidTr="00105290">
        <w:trPr>
          <w:trHeight w:val="431"/>
        </w:trPr>
        <w:tc>
          <w:tcPr>
            <w:tcW w:w="1717"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b/>
                <w:color w:val="000000"/>
                <w:sz w:val="20"/>
                <w:szCs w:val="22"/>
              </w:rPr>
              <w:t>56,329</w:t>
            </w:r>
          </w:p>
        </w:tc>
        <w:tc>
          <w:tcPr>
            <w:tcW w:w="6221" w:type="dxa"/>
            <w:shd w:val="clear" w:color="auto" w:fill="E7E6E6" w:themeFill="background2"/>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b/>
                <w:color w:val="000000"/>
                <w:sz w:val="20"/>
                <w:szCs w:val="22"/>
              </w:rPr>
              <w:t>Total</w:t>
            </w:r>
          </w:p>
        </w:tc>
        <w:tc>
          <w:tcPr>
            <w:tcW w:w="1701"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55,915</w:t>
            </w:r>
          </w:p>
        </w:tc>
      </w:tr>
      <w:tr w:rsidR="00B368D6" w:rsidTr="00105290">
        <w:trPr>
          <w:trHeight w:val="431"/>
        </w:trPr>
        <w:tc>
          <w:tcPr>
            <w:tcW w:w="1717"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p>
        </w:tc>
        <w:tc>
          <w:tcPr>
            <w:tcW w:w="6221" w:type="dxa"/>
            <w:shd w:val="clear" w:color="auto" w:fill="E7E6E6" w:themeFill="background2"/>
          </w:tcPr>
          <w:p w:rsidR="00DC78E9" w:rsidRPr="00F83792" w:rsidRDefault="00E56C9A" w:rsidP="00105290">
            <w:pPr>
              <w:tabs>
                <w:tab w:val="left" w:pos="1455"/>
                <w:tab w:val="left" w:pos="5040"/>
                <w:tab w:val="left" w:pos="6885"/>
              </w:tabs>
              <w:spacing w:after="120"/>
              <w:jc w:val="both"/>
              <w:rPr>
                <w:rFonts w:ascii="Arial" w:eastAsia="Arial Unicode MS" w:hAnsi="Arial" w:cs="Arial"/>
                <w:b/>
                <w:sz w:val="20"/>
                <w:szCs w:val="18"/>
              </w:rPr>
            </w:pPr>
            <w:r w:rsidRPr="00F83792">
              <w:rPr>
                <w:rFonts w:ascii="Arial" w:eastAsia="Arial Unicode MS" w:hAnsi="Arial" w:cs="Arial"/>
                <w:b/>
                <w:color w:val="000000"/>
                <w:sz w:val="20"/>
                <w:szCs w:val="22"/>
              </w:rPr>
              <w:t>Number of pensioners</w:t>
            </w:r>
          </w:p>
        </w:tc>
        <w:tc>
          <w:tcPr>
            <w:tcW w:w="1701"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p>
        </w:tc>
      </w:tr>
      <w:tr w:rsidR="00B368D6" w:rsidTr="00105290">
        <w:trPr>
          <w:trHeight w:val="431"/>
        </w:trPr>
        <w:tc>
          <w:tcPr>
            <w:tcW w:w="1717"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2"/>
              </w:rPr>
              <w:t>22,414</w:t>
            </w:r>
          </w:p>
        </w:tc>
        <w:tc>
          <w:tcPr>
            <w:tcW w:w="6221" w:type="dxa"/>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2"/>
              </w:rPr>
              <w:t>County Council</w:t>
            </w:r>
          </w:p>
        </w:tc>
        <w:tc>
          <w:tcPr>
            <w:tcW w:w="1701"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23,141</w:t>
            </w:r>
          </w:p>
        </w:tc>
      </w:tr>
      <w:tr w:rsidR="00B368D6" w:rsidTr="00105290">
        <w:trPr>
          <w:trHeight w:val="431"/>
        </w:trPr>
        <w:tc>
          <w:tcPr>
            <w:tcW w:w="1717"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2"/>
              </w:rPr>
              <w:t>22,093</w:t>
            </w:r>
          </w:p>
        </w:tc>
        <w:tc>
          <w:tcPr>
            <w:tcW w:w="6221" w:type="dxa"/>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2"/>
              </w:rPr>
              <w:t>Other employers</w:t>
            </w:r>
          </w:p>
        </w:tc>
        <w:tc>
          <w:tcPr>
            <w:tcW w:w="1701"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23,012</w:t>
            </w:r>
          </w:p>
        </w:tc>
      </w:tr>
      <w:tr w:rsidR="00B368D6" w:rsidTr="00105290">
        <w:trPr>
          <w:trHeight w:val="431"/>
        </w:trPr>
        <w:tc>
          <w:tcPr>
            <w:tcW w:w="1717"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b/>
                <w:color w:val="000000"/>
                <w:sz w:val="20"/>
                <w:szCs w:val="22"/>
              </w:rPr>
              <w:t>44,507</w:t>
            </w:r>
          </w:p>
        </w:tc>
        <w:tc>
          <w:tcPr>
            <w:tcW w:w="6221" w:type="dxa"/>
            <w:shd w:val="clear" w:color="auto" w:fill="E7E6E6" w:themeFill="background2"/>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b/>
                <w:color w:val="000000"/>
                <w:sz w:val="20"/>
                <w:szCs w:val="22"/>
              </w:rPr>
              <w:t>Total</w:t>
            </w:r>
          </w:p>
        </w:tc>
        <w:tc>
          <w:tcPr>
            <w:tcW w:w="1701"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46,153</w:t>
            </w:r>
          </w:p>
        </w:tc>
      </w:tr>
      <w:tr w:rsidR="00B368D6" w:rsidTr="00105290">
        <w:trPr>
          <w:trHeight w:val="431"/>
        </w:trPr>
        <w:tc>
          <w:tcPr>
            <w:tcW w:w="1717"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p>
        </w:tc>
        <w:tc>
          <w:tcPr>
            <w:tcW w:w="6221" w:type="dxa"/>
            <w:shd w:val="clear" w:color="auto" w:fill="E7E6E6" w:themeFill="background2"/>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b/>
                <w:color w:val="000000"/>
                <w:sz w:val="20"/>
                <w:szCs w:val="22"/>
              </w:rPr>
              <w:t>Number of deferred pensioners</w:t>
            </w:r>
          </w:p>
        </w:tc>
        <w:tc>
          <w:tcPr>
            <w:tcW w:w="1701"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p>
        </w:tc>
      </w:tr>
      <w:tr w:rsidR="00B368D6" w:rsidTr="00105290">
        <w:trPr>
          <w:trHeight w:val="431"/>
        </w:trPr>
        <w:tc>
          <w:tcPr>
            <w:tcW w:w="1717"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2"/>
              </w:rPr>
              <w:t>33,253</w:t>
            </w:r>
          </w:p>
        </w:tc>
        <w:tc>
          <w:tcPr>
            <w:tcW w:w="6221" w:type="dxa"/>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2"/>
              </w:rPr>
              <w:t>County Council</w:t>
            </w:r>
          </w:p>
        </w:tc>
        <w:tc>
          <w:tcPr>
            <w:tcW w:w="1701"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34,668</w:t>
            </w:r>
          </w:p>
        </w:tc>
      </w:tr>
      <w:tr w:rsidR="00B368D6" w:rsidTr="00105290">
        <w:trPr>
          <w:trHeight w:val="431"/>
        </w:trPr>
        <w:tc>
          <w:tcPr>
            <w:tcW w:w="1717"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2"/>
              </w:rPr>
              <w:t>28,377</w:t>
            </w:r>
          </w:p>
        </w:tc>
        <w:tc>
          <w:tcPr>
            <w:tcW w:w="6221" w:type="dxa"/>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2"/>
              </w:rPr>
              <w:t>Other employers</w:t>
            </w:r>
          </w:p>
        </w:tc>
        <w:tc>
          <w:tcPr>
            <w:tcW w:w="1701" w:type="dxa"/>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30,573</w:t>
            </w:r>
          </w:p>
        </w:tc>
      </w:tr>
      <w:tr w:rsidR="00B368D6" w:rsidTr="00105290">
        <w:trPr>
          <w:trHeight w:val="431"/>
        </w:trPr>
        <w:tc>
          <w:tcPr>
            <w:tcW w:w="1717"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b/>
                <w:color w:val="000000"/>
                <w:sz w:val="20"/>
                <w:szCs w:val="22"/>
              </w:rPr>
              <w:t>61,630</w:t>
            </w:r>
          </w:p>
        </w:tc>
        <w:tc>
          <w:tcPr>
            <w:tcW w:w="6221" w:type="dxa"/>
            <w:shd w:val="clear" w:color="auto" w:fill="E7E6E6" w:themeFill="background2"/>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b/>
                <w:color w:val="000000"/>
                <w:sz w:val="20"/>
                <w:szCs w:val="22"/>
              </w:rPr>
              <w:t>Total</w:t>
            </w:r>
          </w:p>
        </w:tc>
        <w:tc>
          <w:tcPr>
            <w:tcW w:w="1701"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65,241</w:t>
            </w:r>
          </w:p>
        </w:tc>
      </w:tr>
      <w:tr w:rsidR="00B368D6" w:rsidTr="00105290">
        <w:trPr>
          <w:trHeight w:val="431"/>
        </w:trPr>
        <w:tc>
          <w:tcPr>
            <w:tcW w:w="1717"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b/>
                <w:color w:val="000000"/>
                <w:sz w:val="20"/>
                <w:szCs w:val="22"/>
              </w:rPr>
              <w:lastRenderedPageBreak/>
              <w:t>162,466</w:t>
            </w:r>
          </w:p>
        </w:tc>
        <w:tc>
          <w:tcPr>
            <w:tcW w:w="6221" w:type="dxa"/>
            <w:shd w:val="clear" w:color="auto" w:fill="E7E6E6" w:themeFill="background2"/>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b/>
                <w:color w:val="000000"/>
                <w:sz w:val="20"/>
                <w:szCs w:val="22"/>
              </w:rPr>
              <w:t>Total membership</w:t>
            </w:r>
          </w:p>
        </w:tc>
        <w:tc>
          <w:tcPr>
            <w:tcW w:w="1701"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167,309</w:t>
            </w:r>
          </w:p>
        </w:tc>
      </w:tr>
    </w:tbl>
    <w:p w:rsidR="00DC78E9" w:rsidRPr="00F83792" w:rsidRDefault="00E56C9A" w:rsidP="00DC78E9">
      <w:pPr>
        <w:autoSpaceDE w:val="0"/>
        <w:autoSpaceDN w:val="0"/>
        <w:adjustRightInd w:val="0"/>
        <w:ind w:left="567"/>
        <w:contextualSpacing/>
        <w:jc w:val="both"/>
        <w:rPr>
          <w:rFonts w:ascii="Arial" w:eastAsia="Arial Unicode MS" w:hAnsi="Arial" w:cs="Arial"/>
          <w:color w:val="000000"/>
          <w:sz w:val="22"/>
          <w:szCs w:val="22"/>
        </w:rPr>
      </w:pPr>
    </w:p>
    <w:p w:rsidR="00DC78E9" w:rsidRPr="00F83792" w:rsidRDefault="00E56C9A" w:rsidP="00DC78E9">
      <w:pPr>
        <w:numPr>
          <w:ilvl w:val="1"/>
          <w:numId w:val="12"/>
        </w:numPr>
        <w:autoSpaceDE w:val="0"/>
        <w:autoSpaceDN w:val="0"/>
        <w:adjustRightInd w:val="0"/>
        <w:ind w:left="567" w:hanging="567"/>
        <w:contextualSpacing/>
        <w:jc w:val="both"/>
        <w:rPr>
          <w:rFonts w:ascii="Arial" w:eastAsia="Arial Unicode MS" w:hAnsi="Arial" w:cs="Arial"/>
          <w:color w:val="000000"/>
          <w:sz w:val="32"/>
          <w:szCs w:val="22"/>
        </w:rPr>
      </w:pPr>
      <w:r w:rsidRPr="00F83792">
        <w:rPr>
          <w:rFonts w:ascii="Arial" w:eastAsia="Arial Unicode MS" w:hAnsi="Arial" w:cs="Arial"/>
          <w:b/>
          <w:color w:val="000000"/>
          <w:sz w:val="32"/>
          <w:szCs w:val="22"/>
        </w:rPr>
        <w:t xml:space="preserve">  Funding</w:t>
      </w:r>
    </w:p>
    <w:p w:rsidR="00DC78E9" w:rsidRPr="00F83792" w:rsidRDefault="00E56C9A" w:rsidP="00DC78E9">
      <w:pPr>
        <w:autoSpaceDE w:val="0"/>
        <w:autoSpaceDN w:val="0"/>
        <w:adjustRightInd w:val="0"/>
        <w:ind w:left="928"/>
        <w:contextualSpacing/>
        <w:jc w:val="both"/>
        <w:rPr>
          <w:rFonts w:ascii="Arial" w:eastAsia="Arial Unicode MS" w:hAnsi="Arial" w:cs="Arial"/>
          <w:color w:val="000000"/>
          <w:sz w:val="22"/>
          <w:szCs w:val="22"/>
        </w:rPr>
      </w:pPr>
    </w:p>
    <w:p w:rsidR="00DC78E9" w:rsidRPr="00F83792" w:rsidRDefault="00E56C9A" w:rsidP="00AB27C4">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Benefits are funded by contributions and investment earnings.  Employee </w:t>
      </w:r>
      <w:r w:rsidRPr="00F83792">
        <w:rPr>
          <w:rFonts w:ascii="Arial" w:eastAsia="Arial Unicode MS" w:hAnsi="Arial" w:cs="Arial"/>
          <w:color w:val="000000"/>
          <w:sz w:val="22"/>
          <w:szCs w:val="22"/>
        </w:rPr>
        <w:t>contributions are made by active members of the Fund in accordance with the LGPS Regulations 2013 and range from</w:t>
      </w:r>
      <w:r>
        <w:rPr>
          <w:rFonts w:ascii="Arial" w:eastAsia="Arial Unicode MS" w:hAnsi="Arial" w:cs="Arial"/>
          <w:color w:val="000000"/>
          <w:sz w:val="22"/>
          <w:szCs w:val="22"/>
        </w:rPr>
        <w:t xml:space="preserve"> </w:t>
      </w:r>
      <w:r w:rsidRPr="00F83792">
        <w:rPr>
          <w:rFonts w:ascii="Arial" w:eastAsia="Arial Unicode MS" w:hAnsi="Arial" w:cs="Arial"/>
          <w:color w:val="000000"/>
          <w:sz w:val="22"/>
          <w:szCs w:val="22"/>
        </w:rPr>
        <w:t>5.</w:t>
      </w:r>
      <w:r>
        <w:rPr>
          <w:rFonts w:ascii="Arial" w:eastAsia="Arial Unicode MS" w:hAnsi="Arial" w:cs="Arial"/>
          <w:color w:val="000000"/>
          <w:sz w:val="22"/>
          <w:szCs w:val="22"/>
        </w:rPr>
        <w:t>5</w:t>
      </w:r>
      <w:r w:rsidRPr="00F83792">
        <w:rPr>
          <w:rFonts w:ascii="Arial" w:eastAsia="Arial Unicode MS" w:hAnsi="Arial" w:cs="Arial"/>
          <w:color w:val="000000"/>
          <w:sz w:val="22"/>
          <w:szCs w:val="22"/>
        </w:rPr>
        <w:t xml:space="preserve"> %</w:t>
      </w:r>
      <w:r w:rsidRPr="00F83792">
        <w:rPr>
          <w:rFonts w:ascii="Arial" w:eastAsia="Arial Unicode MS" w:hAnsi="Arial" w:cs="Arial"/>
          <w:color w:val="000000"/>
          <w:sz w:val="22"/>
          <w:szCs w:val="22"/>
        </w:rPr>
        <w:t xml:space="preserve"> to </w:t>
      </w:r>
      <w:r w:rsidRPr="00F83792">
        <w:rPr>
          <w:rFonts w:ascii="Arial" w:eastAsia="Arial Unicode MS" w:hAnsi="Arial" w:cs="Arial"/>
          <w:color w:val="000000"/>
          <w:sz w:val="22"/>
          <w:szCs w:val="22"/>
        </w:rPr>
        <w:t>12.5</w:t>
      </w:r>
      <w:r w:rsidRPr="00F83792">
        <w:rPr>
          <w:rFonts w:ascii="Arial" w:eastAsia="Arial Unicode MS" w:hAnsi="Arial" w:cs="Arial"/>
          <w:color w:val="000000"/>
          <w:sz w:val="22"/>
          <w:szCs w:val="22"/>
        </w:rPr>
        <w:t>%</w:t>
      </w:r>
      <w:r w:rsidRPr="00F83792">
        <w:rPr>
          <w:rFonts w:ascii="Arial" w:eastAsia="Arial Unicode MS" w:hAnsi="Arial" w:cs="Arial"/>
          <w:color w:val="000000"/>
          <w:sz w:val="22"/>
          <w:szCs w:val="22"/>
        </w:rPr>
        <w:t xml:space="preserve"> of pensionable pay for the financial year ending 31 March </w:t>
      </w:r>
      <w:r w:rsidRPr="00F83792">
        <w:rPr>
          <w:rFonts w:ascii="Arial" w:eastAsia="Arial Unicode MS" w:hAnsi="Arial" w:cs="Arial"/>
          <w:color w:val="000000"/>
          <w:sz w:val="22"/>
          <w:szCs w:val="22"/>
        </w:rPr>
        <w:t>2017</w:t>
      </w:r>
      <w:r w:rsidRPr="00F83792">
        <w:rPr>
          <w:rFonts w:ascii="Arial" w:eastAsia="Arial Unicode MS" w:hAnsi="Arial" w:cs="Arial"/>
          <w:color w:val="000000"/>
          <w:sz w:val="22"/>
          <w:szCs w:val="22"/>
        </w:rPr>
        <w:t xml:space="preserve">.  Employee contributions are matched by employers' contributions </w:t>
      </w:r>
      <w:r w:rsidRPr="00F83792">
        <w:rPr>
          <w:rFonts w:ascii="Arial" w:eastAsia="Arial Unicode MS" w:hAnsi="Arial" w:cs="Arial"/>
          <w:color w:val="000000"/>
          <w:sz w:val="22"/>
          <w:szCs w:val="22"/>
        </w:rPr>
        <w:t>which are set based on triennial actuarial funding valuations.</w:t>
      </w:r>
      <w:r w:rsidRPr="00F83792">
        <w:rPr>
          <w:rFonts w:ascii="Arial" w:eastAsia="Arial Unicode MS" w:hAnsi="Arial" w:cs="Arial"/>
          <w:color w:val="000000"/>
          <w:sz w:val="22"/>
          <w:szCs w:val="22"/>
        </w:rPr>
        <w:t xml:space="preserve">  The last such valuation was at 31 March 2016</w:t>
      </w:r>
      <w:r>
        <w:rPr>
          <w:rFonts w:ascii="Arial" w:eastAsia="Arial Unicode MS" w:hAnsi="Arial" w:cs="Arial"/>
          <w:color w:val="000000"/>
          <w:sz w:val="22"/>
          <w:szCs w:val="22"/>
        </w:rPr>
        <w:t xml:space="preserve"> for the three years commencing 1 April 2017</w:t>
      </w:r>
      <w:r w:rsidRPr="00F83792">
        <w:rPr>
          <w:rFonts w:ascii="Arial" w:eastAsia="Arial Unicode MS" w:hAnsi="Arial" w:cs="Arial"/>
          <w:color w:val="000000"/>
          <w:sz w:val="22"/>
          <w:szCs w:val="22"/>
        </w:rPr>
        <w:t>.</w:t>
      </w:r>
    </w:p>
    <w:p w:rsidR="00CF7BAD" w:rsidRPr="00F83792"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F83792" w:rsidRDefault="00E56C9A" w:rsidP="00DC78E9">
      <w:pPr>
        <w:numPr>
          <w:ilvl w:val="1"/>
          <w:numId w:val="12"/>
        </w:numPr>
        <w:tabs>
          <w:tab w:val="left" w:pos="720"/>
        </w:tabs>
        <w:autoSpaceDE w:val="0"/>
        <w:autoSpaceDN w:val="0"/>
        <w:adjustRightInd w:val="0"/>
        <w:ind w:left="567" w:hanging="567"/>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 xml:space="preserve">  Benefits</w:t>
      </w:r>
    </w:p>
    <w:p w:rsidR="00DC78E9" w:rsidRPr="00F83792" w:rsidRDefault="00E56C9A" w:rsidP="00DC78E9">
      <w:pPr>
        <w:tabs>
          <w:tab w:val="left" w:pos="720"/>
        </w:tabs>
        <w:autoSpaceDE w:val="0"/>
        <w:autoSpaceDN w:val="0"/>
        <w:adjustRightInd w:val="0"/>
        <w:ind w:left="928"/>
        <w:contextualSpacing/>
        <w:jc w:val="both"/>
        <w:rPr>
          <w:rFonts w:ascii="Arial" w:eastAsia="Arial Unicode MS" w:hAnsi="Arial" w:cs="Arial"/>
          <w:b/>
          <w:color w:val="000000"/>
          <w:sz w:val="22"/>
          <w:szCs w:val="22"/>
        </w:rPr>
      </w:pP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Prior to 1 April 2014, pension benefits under the LGPS were based on final pensionable </w:t>
      </w:r>
      <w:r w:rsidRPr="00F83792">
        <w:rPr>
          <w:rFonts w:ascii="Arial" w:eastAsia="Arial Unicode MS" w:hAnsi="Arial" w:cs="Arial"/>
          <w:color w:val="000000"/>
          <w:sz w:val="22"/>
          <w:szCs w:val="22"/>
        </w:rPr>
        <w:t>pay and length of pensionable service, as detailed in the following summary:</w:t>
      </w:r>
    </w:p>
    <w:p w:rsidR="00DC78E9" w:rsidRPr="00F83792" w:rsidRDefault="00E56C9A" w:rsidP="00DC78E9">
      <w:pPr>
        <w:autoSpaceDE w:val="0"/>
        <w:autoSpaceDN w:val="0"/>
        <w:adjustRightInd w:val="0"/>
        <w:ind w:left="720"/>
        <w:jc w:val="both"/>
        <w:rPr>
          <w:rFonts w:ascii="Arial" w:eastAsia="Arial Unicode MS" w:hAnsi="Arial" w:cs="Arial"/>
          <w:color w:val="000000"/>
          <w:sz w:val="22"/>
          <w:szCs w:val="22"/>
        </w:rPr>
      </w:pPr>
    </w:p>
    <w:tbl>
      <w:tblPr>
        <w:tblStyle w:val="TableGrid12"/>
        <w:tblW w:w="0" w:type="auto"/>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136"/>
        <w:gridCol w:w="2284"/>
        <w:gridCol w:w="2611"/>
        <w:gridCol w:w="2562"/>
      </w:tblGrid>
      <w:tr w:rsidR="00B368D6" w:rsidTr="00105290">
        <w:trPr>
          <w:trHeight w:val="521"/>
        </w:trPr>
        <w:tc>
          <w:tcPr>
            <w:tcW w:w="2136" w:type="dxa"/>
            <w:shd w:val="clear" w:color="auto" w:fill="E7E6E6" w:themeFill="background2"/>
          </w:tcPr>
          <w:p w:rsidR="00DC78E9" w:rsidRPr="00F83792" w:rsidRDefault="00E56C9A" w:rsidP="00105290">
            <w:pPr>
              <w:autoSpaceDE w:val="0"/>
              <w:autoSpaceDN w:val="0"/>
              <w:adjustRightInd w:val="0"/>
              <w:jc w:val="both"/>
              <w:rPr>
                <w:rFonts w:ascii="Arial" w:eastAsia="Arial Unicode MS" w:hAnsi="Arial" w:cs="Arial"/>
                <w:color w:val="000000"/>
                <w:sz w:val="22"/>
                <w:szCs w:val="22"/>
              </w:rPr>
            </w:pPr>
          </w:p>
        </w:tc>
        <w:tc>
          <w:tcPr>
            <w:tcW w:w="2284" w:type="dxa"/>
            <w:shd w:val="clear" w:color="auto" w:fill="E7E6E6" w:themeFill="background2"/>
          </w:tcPr>
          <w:p w:rsidR="00DC78E9" w:rsidRPr="00F83792" w:rsidRDefault="00E56C9A" w:rsidP="00105290">
            <w:pPr>
              <w:autoSpaceDE w:val="0"/>
              <w:autoSpaceDN w:val="0"/>
              <w:adjustRightInd w:val="0"/>
              <w:rPr>
                <w:rFonts w:ascii="Arial" w:eastAsia="Arial Unicode MS" w:hAnsi="Arial" w:cs="Arial"/>
                <w:b/>
                <w:color w:val="000000"/>
                <w:sz w:val="22"/>
                <w:szCs w:val="22"/>
              </w:rPr>
            </w:pPr>
            <w:r w:rsidRPr="00F83792">
              <w:rPr>
                <w:rFonts w:ascii="Arial" w:eastAsia="Arial Unicode MS" w:hAnsi="Arial" w:cs="Arial"/>
                <w:b/>
                <w:color w:val="000000"/>
                <w:sz w:val="22"/>
                <w:szCs w:val="22"/>
              </w:rPr>
              <w:t>Service Pre 1 April 2008</w:t>
            </w:r>
          </w:p>
        </w:tc>
        <w:tc>
          <w:tcPr>
            <w:tcW w:w="2611" w:type="dxa"/>
            <w:shd w:val="clear" w:color="auto" w:fill="E7E6E6" w:themeFill="background2"/>
          </w:tcPr>
          <w:p w:rsidR="00DC78E9" w:rsidRPr="00F83792" w:rsidRDefault="00E56C9A" w:rsidP="00105290">
            <w:pPr>
              <w:autoSpaceDE w:val="0"/>
              <w:autoSpaceDN w:val="0"/>
              <w:adjustRightInd w:val="0"/>
              <w:rPr>
                <w:rFonts w:ascii="Arial" w:eastAsia="Arial Unicode MS" w:hAnsi="Arial" w:cs="Arial"/>
                <w:b/>
                <w:color w:val="000000"/>
                <w:sz w:val="22"/>
                <w:szCs w:val="22"/>
              </w:rPr>
            </w:pPr>
            <w:r w:rsidRPr="00F83792">
              <w:rPr>
                <w:rFonts w:ascii="Arial" w:eastAsia="Arial Unicode MS" w:hAnsi="Arial" w:cs="Arial"/>
                <w:b/>
                <w:color w:val="000000"/>
                <w:sz w:val="22"/>
                <w:szCs w:val="22"/>
              </w:rPr>
              <w:t>Service post 31 March 2008</w:t>
            </w:r>
          </w:p>
        </w:tc>
        <w:tc>
          <w:tcPr>
            <w:tcW w:w="2562" w:type="dxa"/>
            <w:shd w:val="clear" w:color="auto" w:fill="E7E6E6" w:themeFill="background2"/>
          </w:tcPr>
          <w:p w:rsidR="00DC78E9" w:rsidRPr="00F83792" w:rsidRDefault="00E56C9A" w:rsidP="00105290">
            <w:pPr>
              <w:autoSpaceDE w:val="0"/>
              <w:autoSpaceDN w:val="0"/>
              <w:adjustRightInd w:val="0"/>
              <w:rPr>
                <w:rFonts w:ascii="Arial" w:eastAsia="Arial Unicode MS" w:hAnsi="Arial" w:cs="Arial"/>
                <w:b/>
                <w:color w:val="000000"/>
                <w:sz w:val="22"/>
                <w:szCs w:val="22"/>
              </w:rPr>
            </w:pPr>
            <w:r w:rsidRPr="00F83792">
              <w:rPr>
                <w:rFonts w:ascii="Arial" w:eastAsia="Arial Unicode MS" w:hAnsi="Arial" w:cs="Arial"/>
                <w:b/>
                <w:color w:val="000000"/>
                <w:sz w:val="22"/>
                <w:szCs w:val="22"/>
              </w:rPr>
              <w:t>Service post 1 April 2014</w:t>
            </w:r>
          </w:p>
        </w:tc>
      </w:tr>
      <w:tr w:rsidR="00B368D6" w:rsidTr="00105290">
        <w:trPr>
          <w:trHeight w:val="841"/>
        </w:trPr>
        <w:tc>
          <w:tcPr>
            <w:tcW w:w="2136" w:type="dxa"/>
            <w:shd w:val="clear" w:color="auto" w:fill="auto"/>
          </w:tcPr>
          <w:p w:rsidR="00DC78E9" w:rsidRPr="00F83792" w:rsidRDefault="00E56C9A" w:rsidP="00105290">
            <w:pPr>
              <w:autoSpaceDE w:val="0"/>
              <w:autoSpaceDN w:val="0"/>
              <w:adjustRightInd w:val="0"/>
              <w:jc w:val="both"/>
              <w:rPr>
                <w:rFonts w:ascii="Arial" w:eastAsia="Arial Unicode MS" w:hAnsi="Arial" w:cs="Arial"/>
                <w:b/>
                <w:color w:val="000000"/>
                <w:sz w:val="22"/>
                <w:szCs w:val="22"/>
              </w:rPr>
            </w:pPr>
            <w:r w:rsidRPr="00F83792">
              <w:rPr>
                <w:rFonts w:ascii="Arial" w:eastAsia="Arial Unicode MS" w:hAnsi="Arial" w:cs="Arial"/>
                <w:b/>
                <w:color w:val="000000"/>
                <w:sz w:val="22"/>
                <w:szCs w:val="22"/>
              </w:rPr>
              <w:t>Pension</w:t>
            </w:r>
          </w:p>
        </w:tc>
        <w:tc>
          <w:tcPr>
            <w:tcW w:w="2284" w:type="dxa"/>
            <w:shd w:val="clear" w:color="auto" w:fill="auto"/>
          </w:tcPr>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Each year worked is worth 1/80 x final pensionable salary</w:t>
            </w:r>
          </w:p>
        </w:tc>
        <w:tc>
          <w:tcPr>
            <w:tcW w:w="2611" w:type="dxa"/>
            <w:shd w:val="clear" w:color="auto" w:fill="auto"/>
          </w:tcPr>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Each year worked is worth 1/60 x</w:t>
            </w:r>
            <w:r w:rsidRPr="00F83792">
              <w:rPr>
                <w:rFonts w:ascii="Arial" w:eastAsia="Arial Unicode MS" w:hAnsi="Arial" w:cs="Arial"/>
                <w:color w:val="000000"/>
                <w:sz w:val="20"/>
                <w:szCs w:val="22"/>
              </w:rPr>
              <w:t xml:space="preserve"> final pensionable salary</w:t>
            </w:r>
          </w:p>
        </w:tc>
        <w:tc>
          <w:tcPr>
            <w:tcW w:w="2562" w:type="dxa"/>
            <w:shd w:val="clear" w:color="auto" w:fill="auto"/>
          </w:tcPr>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Each year worked is worth 1/49</w:t>
            </w:r>
            <w:r w:rsidRPr="00F83792">
              <w:rPr>
                <w:rFonts w:ascii="Arial" w:eastAsia="Arial Unicode MS" w:hAnsi="Arial" w:cs="Arial"/>
                <w:color w:val="000000"/>
                <w:sz w:val="20"/>
                <w:szCs w:val="22"/>
                <w:vertAlign w:val="superscript"/>
              </w:rPr>
              <w:t>th</w:t>
            </w:r>
            <w:r w:rsidRPr="00F83792">
              <w:rPr>
                <w:rFonts w:ascii="Arial" w:eastAsia="Arial Unicode MS" w:hAnsi="Arial" w:cs="Arial"/>
                <w:color w:val="000000"/>
                <w:sz w:val="20"/>
                <w:szCs w:val="22"/>
              </w:rPr>
              <w:t xml:space="preserve"> x the pensionable pay  for that year (or 1/98th of pensionable pay if member opts for the 50/50 section of the scheme)</w:t>
            </w:r>
          </w:p>
        </w:tc>
      </w:tr>
      <w:tr w:rsidR="00B368D6" w:rsidTr="00105290">
        <w:trPr>
          <w:trHeight w:val="1972"/>
        </w:trPr>
        <w:tc>
          <w:tcPr>
            <w:tcW w:w="2136" w:type="dxa"/>
            <w:shd w:val="clear" w:color="auto" w:fill="auto"/>
          </w:tcPr>
          <w:p w:rsidR="00DC78E9" w:rsidRPr="00F83792" w:rsidRDefault="00E56C9A" w:rsidP="00105290">
            <w:pPr>
              <w:autoSpaceDE w:val="0"/>
              <w:autoSpaceDN w:val="0"/>
              <w:adjustRightInd w:val="0"/>
              <w:jc w:val="both"/>
              <w:rPr>
                <w:rFonts w:ascii="Arial" w:eastAsia="Arial Unicode MS" w:hAnsi="Arial" w:cs="Arial"/>
                <w:b/>
                <w:color w:val="000000"/>
                <w:sz w:val="22"/>
                <w:szCs w:val="22"/>
              </w:rPr>
            </w:pPr>
            <w:r w:rsidRPr="00F83792">
              <w:rPr>
                <w:rFonts w:ascii="Arial" w:eastAsia="Arial Unicode MS" w:hAnsi="Arial" w:cs="Arial"/>
                <w:b/>
                <w:color w:val="000000"/>
                <w:sz w:val="22"/>
                <w:szCs w:val="22"/>
              </w:rPr>
              <w:t>Lump sum</w:t>
            </w:r>
          </w:p>
        </w:tc>
        <w:tc>
          <w:tcPr>
            <w:tcW w:w="2284" w:type="dxa"/>
            <w:shd w:val="clear" w:color="auto" w:fill="auto"/>
          </w:tcPr>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Automatic lump sum of 3 x salary.</w:t>
            </w:r>
          </w:p>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 xml:space="preserve">In addition, part of the annual </w:t>
            </w:r>
            <w:r w:rsidRPr="00F83792">
              <w:rPr>
                <w:rFonts w:ascii="Arial" w:eastAsia="Arial Unicode MS" w:hAnsi="Arial" w:cs="Arial"/>
                <w:color w:val="000000"/>
                <w:sz w:val="20"/>
                <w:szCs w:val="22"/>
              </w:rPr>
              <w:t>pension can be exchanged for a one-off tax free cash payment.  A lump sum of £12 is paid for each £1 of pension given up</w:t>
            </w:r>
          </w:p>
        </w:tc>
        <w:tc>
          <w:tcPr>
            <w:tcW w:w="2611" w:type="dxa"/>
            <w:shd w:val="clear" w:color="auto" w:fill="auto"/>
          </w:tcPr>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No automatic lump sum.</w:t>
            </w:r>
          </w:p>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 xml:space="preserve">Part of the annual pension can be exchanged for a one-off tax free cash payment.  A lump sum of £12 is paid for </w:t>
            </w:r>
            <w:r w:rsidRPr="00F83792">
              <w:rPr>
                <w:rFonts w:ascii="Arial" w:eastAsia="Arial Unicode MS" w:hAnsi="Arial" w:cs="Arial"/>
                <w:color w:val="000000"/>
                <w:sz w:val="20"/>
                <w:szCs w:val="22"/>
              </w:rPr>
              <w:t>each £1 of pension given up</w:t>
            </w:r>
          </w:p>
        </w:tc>
        <w:tc>
          <w:tcPr>
            <w:tcW w:w="2562" w:type="dxa"/>
            <w:shd w:val="clear" w:color="auto" w:fill="auto"/>
          </w:tcPr>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No automatic lump sum.</w:t>
            </w:r>
          </w:p>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Part of the annual pension can be exchanged for a one-off tax free cash payment.  A lump sum of £12 is paid for each £1 of pension given up</w:t>
            </w:r>
          </w:p>
        </w:tc>
      </w:tr>
    </w:tbl>
    <w:p w:rsidR="00DC78E9" w:rsidRPr="00F83792"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F83792" w:rsidRDefault="00E56C9A" w:rsidP="00DC78E9">
      <w:pPr>
        <w:numPr>
          <w:ilvl w:val="0"/>
          <w:numId w:val="6"/>
        </w:numPr>
        <w:tabs>
          <w:tab w:val="num" w:pos="567"/>
        </w:tabs>
        <w:autoSpaceDE w:val="0"/>
        <w:autoSpaceDN w:val="0"/>
        <w:adjustRightInd w:val="0"/>
        <w:ind w:hanging="862"/>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 xml:space="preserve">BASIS OF PREPARATION </w:t>
      </w:r>
    </w:p>
    <w:p w:rsidR="00DC78E9" w:rsidRPr="00F83792" w:rsidRDefault="00E56C9A" w:rsidP="00DC78E9">
      <w:pPr>
        <w:tabs>
          <w:tab w:val="left" w:pos="567"/>
        </w:tabs>
        <w:autoSpaceDE w:val="0"/>
        <w:autoSpaceDN w:val="0"/>
        <w:adjustRightInd w:val="0"/>
        <w:jc w:val="both"/>
        <w:rPr>
          <w:rFonts w:ascii="Arial" w:eastAsia="Arial Unicode MS" w:hAnsi="Arial" w:cs="Arial"/>
          <w:b/>
          <w:color w:val="000000"/>
          <w:sz w:val="22"/>
          <w:szCs w:val="22"/>
        </w:rPr>
      </w:pPr>
    </w:p>
    <w:p w:rsidR="00DC78E9" w:rsidRPr="00F83792" w:rsidRDefault="00E56C9A" w:rsidP="00DC78E9">
      <w:pPr>
        <w:tabs>
          <w:tab w:val="left" w:pos="1080"/>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The Statement of Accounts summarises the</w:t>
      </w:r>
      <w:r w:rsidRPr="00F83792">
        <w:rPr>
          <w:rFonts w:ascii="Arial" w:eastAsia="Arial Unicode MS" w:hAnsi="Arial" w:cs="Arial"/>
          <w:color w:val="000000"/>
          <w:sz w:val="22"/>
          <w:szCs w:val="22"/>
        </w:rPr>
        <w:t xml:space="preserve"> Fund's transactions for the financial year and its position as at 31 March</w:t>
      </w:r>
      <w:r w:rsidRPr="00F83792">
        <w:rPr>
          <w:rFonts w:ascii="Arial" w:eastAsia="Arial Unicode MS" w:hAnsi="Arial" w:cs="Arial"/>
          <w:color w:val="000000"/>
          <w:sz w:val="22"/>
          <w:szCs w:val="22"/>
        </w:rPr>
        <w:t xml:space="preserve"> 2017</w:t>
      </w:r>
      <w:r w:rsidRPr="00F83792">
        <w:rPr>
          <w:rFonts w:ascii="Arial" w:eastAsia="Arial Unicode MS" w:hAnsi="Arial" w:cs="Arial"/>
          <w:color w:val="000000"/>
          <w:sz w:val="22"/>
          <w:szCs w:val="22"/>
        </w:rPr>
        <w:t xml:space="preserve">.  The accounts have been prepared in accordance with the </w:t>
      </w:r>
      <w:r w:rsidRPr="00F83792">
        <w:rPr>
          <w:rFonts w:ascii="Arial" w:eastAsia="Arial Unicode MS" w:hAnsi="Arial" w:cs="Arial"/>
          <w:i/>
          <w:color w:val="000000"/>
          <w:sz w:val="22"/>
          <w:szCs w:val="22"/>
        </w:rPr>
        <w:t>Code of Practice on Local Authority Accounting in United Kingdom</w:t>
      </w:r>
      <w:r w:rsidRPr="00F83792">
        <w:rPr>
          <w:rFonts w:ascii="Arial" w:eastAsia="Arial Unicode MS" w:hAnsi="Arial" w:cs="Arial"/>
          <w:i/>
          <w:color w:val="000000"/>
          <w:sz w:val="22"/>
          <w:szCs w:val="22"/>
        </w:rPr>
        <w:t xml:space="preserve"> </w:t>
      </w:r>
      <w:r w:rsidRPr="00F83792">
        <w:rPr>
          <w:rFonts w:ascii="Arial" w:eastAsia="Arial Unicode MS" w:hAnsi="Arial" w:cs="Arial"/>
          <w:i/>
          <w:color w:val="000000"/>
          <w:sz w:val="22"/>
          <w:szCs w:val="22"/>
        </w:rPr>
        <w:t>2016/17</w:t>
      </w:r>
      <w:r w:rsidRPr="00F83792">
        <w:rPr>
          <w:rFonts w:ascii="Arial" w:eastAsia="Arial Unicode MS" w:hAnsi="Arial" w:cs="Arial"/>
          <w:color w:val="000000"/>
          <w:sz w:val="22"/>
          <w:szCs w:val="22"/>
        </w:rPr>
        <w:t xml:space="preserve"> </w:t>
      </w:r>
      <w:r w:rsidRPr="00F83792">
        <w:rPr>
          <w:rFonts w:ascii="Arial" w:eastAsia="Arial Unicode MS" w:hAnsi="Arial" w:cs="Arial"/>
          <w:color w:val="000000"/>
          <w:sz w:val="22"/>
          <w:szCs w:val="22"/>
        </w:rPr>
        <w:t>which is based on International Financial Rep</w:t>
      </w:r>
      <w:r w:rsidRPr="00F83792">
        <w:rPr>
          <w:rFonts w:ascii="Arial" w:eastAsia="Arial Unicode MS" w:hAnsi="Arial" w:cs="Arial"/>
          <w:color w:val="000000"/>
          <w:sz w:val="22"/>
          <w:szCs w:val="22"/>
        </w:rPr>
        <w:t>orting Standards (IFRS), as amended for the UK public sector.</w:t>
      </w: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The accounts summarise the transactions of the Fund and report the net assets available to pay pension benefits. They do not take account of obligations to pay pensions and benefits which fall </w:t>
      </w:r>
      <w:r w:rsidRPr="00F83792">
        <w:rPr>
          <w:rFonts w:ascii="Arial" w:eastAsia="Arial Unicode MS" w:hAnsi="Arial" w:cs="Arial"/>
          <w:color w:val="000000"/>
          <w:sz w:val="22"/>
          <w:szCs w:val="22"/>
        </w:rPr>
        <w:t xml:space="preserve">due after the end of the financial year. The actuarial present value of promised retirement benefits, valued on an International Accounting Standard (IAS) 19 basis, is disclosed in note </w:t>
      </w:r>
      <w:r w:rsidRPr="00F83792">
        <w:rPr>
          <w:rFonts w:ascii="Arial" w:eastAsia="Arial Unicode MS" w:hAnsi="Arial" w:cs="Arial"/>
          <w:color w:val="000000"/>
          <w:sz w:val="22"/>
          <w:szCs w:val="22"/>
        </w:rPr>
        <w:t>2</w:t>
      </w:r>
      <w:r>
        <w:rPr>
          <w:rFonts w:ascii="Arial" w:eastAsia="Arial Unicode MS" w:hAnsi="Arial" w:cs="Arial"/>
          <w:color w:val="000000"/>
          <w:sz w:val="22"/>
          <w:szCs w:val="22"/>
        </w:rPr>
        <w:t>6</w:t>
      </w:r>
      <w:r w:rsidRPr="00F83792">
        <w:rPr>
          <w:rFonts w:ascii="Arial" w:eastAsia="Arial Unicode MS" w:hAnsi="Arial" w:cs="Arial"/>
          <w:color w:val="000000"/>
          <w:sz w:val="22"/>
          <w:szCs w:val="22"/>
        </w:rPr>
        <w:t xml:space="preserve"> </w:t>
      </w:r>
      <w:r w:rsidRPr="00F83792">
        <w:rPr>
          <w:rFonts w:ascii="Arial" w:eastAsia="Arial Unicode MS" w:hAnsi="Arial" w:cs="Arial"/>
          <w:color w:val="000000"/>
          <w:sz w:val="22"/>
          <w:szCs w:val="22"/>
        </w:rPr>
        <w:t xml:space="preserve">to </w:t>
      </w:r>
      <w:r w:rsidRPr="00F83792">
        <w:rPr>
          <w:rFonts w:ascii="Arial" w:eastAsia="Arial Unicode MS" w:hAnsi="Arial" w:cs="Arial"/>
          <w:color w:val="000000"/>
          <w:sz w:val="22"/>
          <w:szCs w:val="22"/>
        </w:rPr>
        <w:t>these accounts.</w:t>
      </w:r>
    </w:p>
    <w:p w:rsidR="002107DF" w:rsidRPr="00F83792" w:rsidRDefault="00E56C9A" w:rsidP="00DC78E9">
      <w:pPr>
        <w:autoSpaceDE w:val="0"/>
        <w:autoSpaceDN w:val="0"/>
        <w:adjustRightInd w:val="0"/>
        <w:jc w:val="both"/>
        <w:rPr>
          <w:rFonts w:ascii="Arial" w:eastAsia="Arial Unicode MS" w:hAnsi="Arial" w:cs="Arial"/>
          <w:color w:val="000000"/>
          <w:sz w:val="22"/>
          <w:szCs w:val="22"/>
        </w:rPr>
      </w:pPr>
    </w:p>
    <w:p w:rsidR="002107DF" w:rsidRPr="00F83792" w:rsidRDefault="00E56C9A" w:rsidP="002107DF">
      <w:pPr>
        <w:tabs>
          <w:tab w:val="left" w:pos="1080"/>
        </w:tabs>
        <w:rPr>
          <w:rFonts w:ascii="Arial" w:eastAsia="Arial Unicode MS" w:hAnsi="Arial" w:cs="Arial"/>
          <w:b/>
          <w:sz w:val="32"/>
          <w:szCs w:val="32"/>
        </w:rPr>
      </w:pPr>
      <w:proofErr w:type="gramStart"/>
      <w:r w:rsidRPr="00F83792">
        <w:rPr>
          <w:rFonts w:ascii="Arial" w:eastAsia="Arial Unicode MS" w:hAnsi="Arial" w:cs="Arial"/>
          <w:b/>
          <w:sz w:val="32"/>
          <w:szCs w:val="32"/>
        </w:rPr>
        <w:t>2.1  Accounting</w:t>
      </w:r>
      <w:proofErr w:type="gramEnd"/>
      <w:r w:rsidRPr="00F83792">
        <w:rPr>
          <w:rFonts w:ascii="Arial" w:eastAsia="Arial Unicode MS" w:hAnsi="Arial" w:cs="Arial"/>
          <w:b/>
          <w:sz w:val="32"/>
          <w:szCs w:val="32"/>
        </w:rPr>
        <w:t xml:space="preserve"> </w:t>
      </w:r>
      <w:r>
        <w:rPr>
          <w:rFonts w:ascii="Arial" w:eastAsia="Arial Unicode MS" w:hAnsi="Arial" w:cs="Arial"/>
          <w:b/>
          <w:sz w:val="32"/>
          <w:szCs w:val="32"/>
        </w:rPr>
        <w:t>s</w:t>
      </w:r>
      <w:r w:rsidRPr="00F83792">
        <w:rPr>
          <w:rFonts w:ascii="Arial" w:eastAsia="Arial Unicode MS" w:hAnsi="Arial" w:cs="Arial"/>
          <w:b/>
          <w:sz w:val="32"/>
          <w:szCs w:val="32"/>
        </w:rPr>
        <w:t xml:space="preserve">tandards </w:t>
      </w:r>
      <w:r w:rsidRPr="00F83792">
        <w:rPr>
          <w:rFonts w:ascii="Arial" w:eastAsia="Arial Unicode MS" w:hAnsi="Arial" w:cs="Arial"/>
          <w:b/>
          <w:sz w:val="32"/>
          <w:szCs w:val="32"/>
        </w:rPr>
        <w:t xml:space="preserve">issued but not yet </w:t>
      </w:r>
      <w:r w:rsidRPr="00F83792">
        <w:rPr>
          <w:rFonts w:ascii="Arial" w:eastAsia="Arial Unicode MS" w:hAnsi="Arial" w:cs="Arial"/>
          <w:b/>
          <w:sz w:val="32"/>
          <w:szCs w:val="32"/>
        </w:rPr>
        <w:t>adopted</w:t>
      </w:r>
    </w:p>
    <w:p w:rsidR="002107DF" w:rsidRPr="002D5212" w:rsidRDefault="00E56C9A" w:rsidP="002107DF">
      <w:pPr>
        <w:rPr>
          <w:rFonts w:ascii="Arial" w:hAnsi="Arial" w:cs="Arial"/>
          <w:sz w:val="22"/>
          <w:szCs w:val="22"/>
        </w:rPr>
      </w:pPr>
    </w:p>
    <w:p w:rsidR="004A0E1E" w:rsidRDefault="00E56C9A" w:rsidP="004A0E1E">
      <w:pPr>
        <w:autoSpaceDE w:val="0"/>
        <w:autoSpaceDN w:val="0"/>
        <w:rPr>
          <w:rFonts w:ascii="Arial" w:eastAsia="Arial Unicode MS" w:hAnsi="Arial" w:cs="Arial"/>
          <w:color w:val="000000"/>
          <w:sz w:val="22"/>
          <w:szCs w:val="22"/>
          <w:lang w:eastAsia="en-GB"/>
        </w:rPr>
      </w:pPr>
      <w:r w:rsidRPr="00F83792">
        <w:rPr>
          <w:rFonts w:ascii="Arial" w:eastAsia="Arial Unicode MS" w:hAnsi="Arial" w:cs="Arial"/>
          <w:color w:val="000000"/>
          <w:sz w:val="22"/>
          <w:szCs w:val="22"/>
          <w:lang w:eastAsia="en-GB"/>
        </w:rPr>
        <w:t xml:space="preserve">Under the </w:t>
      </w:r>
      <w:r w:rsidRPr="00F83792">
        <w:rPr>
          <w:rFonts w:ascii="Arial" w:eastAsia="Arial Unicode MS" w:hAnsi="Arial" w:cs="Arial"/>
          <w:i/>
          <w:iCs/>
          <w:color w:val="000000"/>
          <w:sz w:val="22"/>
          <w:szCs w:val="22"/>
          <w:lang w:eastAsia="en-GB"/>
        </w:rPr>
        <w:t xml:space="preserve">Code of Practice on Local Authority Accounting in the United Kingdom 2016/17, </w:t>
      </w:r>
      <w:r w:rsidRPr="00F83792">
        <w:rPr>
          <w:rFonts w:ascii="Arial" w:eastAsia="Arial Unicode MS" w:hAnsi="Arial" w:cs="Arial"/>
          <w:color w:val="000000"/>
          <w:sz w:val="22"/>
          <w:szCs w:val="22"/>
          <w:lang w:eastAsia="en-GB"/>
        </w:rPr>
        <w:t xml:space="preserve">the Fund is required to disclose information setting out the impact of an accounting change required by a new accounting standard that has been issued on or </w:t>
      </w:r>
      <w:r w:rsidRPr="00F83792">
        <w:rPr>
          <w:rFonts w:ascii="Arial" w:eastAsia="Arial Unicode MS" w:hAnsi="Arial" w:cs="Arial"/>
          <w:color w:val="000000"/>
          <w:sz w:val="22"/>
          <w:szCs w:val="22"/>
          <w:lang w:eastAsia="en-GB"/>
        </w:rPr>
        <w:t>before 1 January 2017 but not yet adopted by the Code.</w:t>
      </w:r>
    </w:p>
    <w:p w:rsidR="006D0AE9" w:rsidRDefault="00E56C9A" w:rsidP="004A0E1E">
      <w:pPr>
        <w:autoSpaceDE w:val="0"/>
        <w:autoSpaceDN w:val="0"/>
        <w:rPr>
          <w:rFonts w:ascii="Arial" w:eastAsia="Arial Unicode MS" w:hAnsi="Arial" w:cs="Arial"/>
          <w:color w:val="000000"/>
          <w:sz w:val="22"/>
          <w:szCs w:val="22"/>
          <w:lang w:eastAsia="en-GB"/>
        </w:rPr>
      </w:pPr>
    </w:p>
    <w:p w:rsidR="006D0AE9" w:rsidRDefault="00E56C9A" w:rsidP="004A0E1E">
      <w:pPr>
        <w:autoSpaceDE w:val="0"/>
        <w:autoSpaceDN w:val="0"/>
        <w:rPr>
          <w:rFonts w:ascii="Arial" w:eastAsia="Arial Unicode MS" w:hAnsi="Arial" w:cs="Arial"/>
          <w:color w:val="000000"/>
          <w:sz w:val="22"/>
          <w:szCs w:val="22"/>
          <w:lang w:eastAsia="en-GB"/>
        </w:rPr>
      </w:pPr>
      <w:r>
        <w:rPr>
          <w:rFonts w:ascii="Arial" w:eastAsia="Arial Unicode MS" w:hAnsi="Arial" w:cs="Arial"/>
          <w:color w:val="000000"/>
          <w:sz w:val="22"/>
          <w:szCs w:val="22"/>
          <w:lang w:eastAsia="en-GB"/>
        </w:rPr>
        <w:t xml:space="preserve">The Fund has adopted CIPFA guidance on management expenses since 2014/15 when the guidance was introduced.  The </w:t>
      </w:r>
      <w:r w:rsidRPr="000476FA">
        <w:rPr>
          <w:rFonts w:ascii="Arial" w:eastAsia="Arial Unicode MS" w:hAnsi="Arial" w:cs="Arial"/>
          <w:i/>
          <w:color w:val="000000"/>
          <w:sz w:val="22"/>
          <w:szCs w:val="22"/>
          <w:lang w:eastAsia="en-GB"/>
        </w:rPr>
        <w:t>2017/18 Code</w:t>
      </w:r>
      <w:r>
        <w:rPr>
          <w:rFonts w:ascii="Arial" w:eastAsia="Arial Unicode MS" w:hAnsi="Arial" w:cs="Arial"/>
          <w:color w:val="000000"/>
          <w:sz w:val="22"/>
          <w:szCs w:val="22"/>
          <w:lang w:eastAsia="en-GB"/>
        </w:rPr>
        <w:t xml:space="preserve"> is expected to mandate the current guidance and no material change to the F</w:t>
      </w:r>
      <w:r>
        <w:rPr>
          <w:rFonts w:ascii="Arial" w:eastAsia="Arial Unicode MS" w:hAnsi="Arial" w:cs="Arial"/>
          <w:color w:val="000000"/>
          <w:sz w:val="22"/>
          <w:szCs w:val="22"/>
          <w:lang w:eastAsia="en-GB"/>
        </w:rPr>
        <w:t>und accounts is expected.</w:t>
      </w:r>
    </w:p>
    <w:p w:rsidR="006D0AE9" w:rsidRDefault="00E56C9A" w:rsidP="004A0E1E">
      <w:pPr>
        <w:autoSpaceDE w:val="0"/>
        <w:autoSpaceDN w:val="0"/>
        <w:rPr>
          <w:rFonts w:ascii="Arial" w:eastAsia="Arial Unicode MS" w:hAnsi="Arial" w:cs="Arial"/>
          <w:color w:val="000000"/>
          <w:sz w:val="22"/>
          <w:szCs w:val="22"/>
          <w:lang w:eastAsia="en-GB"/>
        </w:rPr>
      </w:pPr>
    </w:p>
    <w:p w:rsidR="004A0E1E" w:rsidRPr="00F42D3D" w:rsidRDefault="00E56C9A" w:rsidP="000476FA">
      <w:pPr>
        <w:autoSpaceDE w:val="0"/>
        <w:autoSpaceDN w:val="0"/>
        <w:rPr>
          <w:rFonts w:ascii="Arial" w:eastAsia="Arial Unicode MS" w:hAnsi="Arial" w:cs="Arial"/>
          <w:color w:val="000000"/>
          <w:sz w:val="22"/>
          <w:szCs w:val="22"/>
          <w:lang w:eastAsia="en-GB"/>
        </w:rPr>
      </w:pPr>
      <w:r>
        <w:rPr>
          <w:rFonts w:ascii="Arial" w:eastAsia="Arial Unicode MS" w:hAnsi="Arial" w:cs="Arial"/>
          <w:color w:val="000000"/>
          <w:sz w:val="22"/>
          <w:szCs w:val="22"/>
          <w:lang w:eastAsia="en-GB"/>
        </w:rPr>
        <w:lastRenderedPageBreak/>
        <w:t>The Fund provides a breakdown of pension fund management expenses across three categories:  investment management expenses, pension scheme administration costs and oversight and governance expenses</w:t>
      </w:r>
      <w:r w:rsidRPr="00F42D3D">
        <w:rPr>
          <w:rFonts w:ascii="Arial" w:eastAsia="Arial Unicode MS" w:hAnsi="Arial" w:cs="Arial"/>
          <w:color w:val="000000"/>
          <w:sz w:val="22"/>
          <w:szCs w:val="22"/>
          <w:lang w:eastAsia="en-GB"/>
        </w:rPr>
        <w:t>.</w:t>
      </w:r>
      <w:r w:rsidRPr="000476FA">
        <w:rPr>
          <w:rFonts w:ascii="Arial" w:eastAsia="Arial Unicode MS" w:hAnsi="Arial" w:cs="Arial"/>
          <w:color w:val="000000"/>
          <w:sz w:val="22"/>
          <w:szCs w:val="22"/>
          <w:lang w:eastAsia="en-GB"/>
        </w:rPr>
        <w:t xml:space="preserve">  This information can be found</w:t>
      </w:r>
      <w:r w:rsidRPr="000476FA">
        <w:rPr>
          <w:rFonts w:ascii="Arial" w:eastAsia="Arial Unicode MS" w:hAnsi="Arial" w:cs="Arial"/>
          <w:color w:val="000000"/>
          <w:sz w:val="22"/>
          <w:szCs w:val="22"/>
          <w:lang w:eastAsia="en-GB"/>
        </w:rPr>
        <w:t xml:space="preserve"> in note </w:t>
      </w:r>
      <w:r>
        <w:rPr>
          <w:rFonts w:ascii="Arial" w:eastAsia="Arial Unicode MS" w:hAnsi="Arial" w:cs="Arial"/>
          <w:color w:val="000000"/>
          <w:sz w:val="22"/>
          <w:szCs w:val="22"/>
          <w:lang w:eastAsia="en-GB"/>
        </w:rPr>
        <w:t>10</w:t>
      </w:r>
      <w:r w:rsidRPr="000476FA">
        <w:rPr>
          <w:rFonts w:ascii="Arial" w:eastAsia="Arial Unicode MS" w:hAnsi="Arial" w:cs="Arial"/>
          <w:color w:val="000000"/>
          <w:sz w:val="22"/>
          <w:szCs w:val="22"/>
          <w:lang w:eastAsia="en-GB"/>
        </w:rPr>
        <w:t xml:space="preserve"> </w:t>
      </w:r>
      <w:r w:rsidRPr="000476FA">
        <w:rPr>
          <w:rFonts w:ascii="Arial" w:eastAsia="Arial Unicode MS" w:hAnsi="Arial" w:cs="Arial"/>
          <w:color w:val="000000"/>
          <w:sz w:val="22"/>
          <w:szCs w:val="22"/>
          <w:lang w:eastAsia="en-GB"/>
        </w:rPr>
        <w:t>and further information is provided in accounting polic</w:t>
      </w:r>
      <w:r w:rsidRPr="000476FA">
        <w:rPr>
          <w:rFonts w:ascii="Arial" w:eastAsia="Arial Unicode MS" w:hAnsi="Arial" w:cs="Arial"/>
          <w:color w:val="000000"/>
          <w:sz w:val="22"/>
          <w:szCs w:val="22"/>
          <w:lang w:eastAsia="en-GB"/>
        </w:rPr>
        <w:t>ies 3.2.3 to 3.2.6.</w:t>
      </w:r>
      <w:r w:rsidRPr="000476FA">
        <w:rPr>
          <w:rFonts w:ascii="Arial" w:eastAsia="Arial Unicode MS" w:hAnsi="Arial" w:cs="Arial"/>
          <w:color w:val="000000"/>
          <w:sz w:val="22"/>
          <w:szCs w:val="22"/>
          <w:lang w:eastAsia="en-GB"/>
        </w:rPr>
        <w:t xml:space="preserve"> </w:t>
      </w:r>
    </w:p>
    <w:p w:rsidR="004A0E1E" w:rsidRPr="000476FA" w:rsidRDefault="00E56C9A" w:rsidP="004A0E1E">
      <w:pPr>
        <w:autoSpaceDE w:val="0"/>
        <w:autoSpaceDN w:val="0"/>
        <w:rPr>
          <w:rFonts w:ascii="Arial" w:eastAsia="Arial Unicode MS" w:hAnsi="Arial" w:cs="Arial"/>
          <w:color w:val="000000"/>
          <w:sz w:val="22"/>
          <w:szCs w:val="22"/>
          <w:highlight w:val="yellow"/>
          <w:lang w:eastAsia="en-GB"/>
        </w:rPr>
      </w:pPr>
    </w:p>
    <w:p w:rsidR="004A0E1E" w:rsidRPr="00F83792" w:rsidRDefault="00E56C9A" w:rsidP="004A0E1E">
      <w:pPr>
        <w:autoSpaceDE w:val="0"/>
        <w:autoSpaceDN w:val="0"/>
        <w:rPr>
          <w:rFonts w:ascii="Arial" w:eastAsia="Arial Unicode MS" w:hAnsi="Arial" w:cs="Arial"/>
          <w:color w:val="000000"/>
          <w:sz w:val="22"/>
          <w:szCs w:val="22"/>
          <w:lang w:eastAsia="en-GB"/>
        </w:rPr>
      </w:pPr>
      <w:r w:rsidRPr="00F42D3D">
        <w:rPr>
          <w:rFonts w:ascii="Arial" w:eastAsia="Arial Unicode MS" w:hAnsi="Arial" w:cs="Arial"/>
          <w:color w:val="000000"/>
          <w:sz w:val="22"/>
          <w:szCs w:val="22"/>
          <w:lang w:eastAsia="en-GB"/>
        </w:rPr>
        <w:t xml:space="preserve">The </w:t>
      </w:r>
      <w:r w:rsidRPr="00F42D3D">
        <w:rPr>
          <w:rFonts w:ascii="Arial" w:eastAsia="Arial Unicode MS" w:hAnsi="Arial" w:cs="Arial"/>
          <w:i/>
          <w:iCs/>
          <w:color w:val="000000"/>
          <w:sz w:val="22"/>
          <w:szCs w:val="22"/>
          <w:lang w:eastAsia="en-GB"/>
        </w:rPr>
        <w:t xml:space="preserve">2017/18 Code of Practice </w:t>
      </w:r>
      <w:r w:rsidRPr="00CE3EFA">
        <w:rPr>
          <w:rFonts w:ascii="Arial" w:eastAsia="Arial Unicode MS" w:hAnsi="Arial" w:cs="Arial"/>
          <w:color w:val="000000"/>
          <w:sz w:val="22"/>
          <w:szCs w:val="22"/>
          <w:lang w:eastAsia="en-GB"/>
        </w:rPr>
        <w:t>will also amend the reporting of investment asset concentration for pension funds an</w:t>
      </w:r>
      <w:r w:rsidRPr="000476FA">
        <w:rPr>
          <w:rFonts w:ascii="Arial" w:eastAsia="Arial Unicode MS" w:hAnsi="Arial" w:cs="Arial"/>
          <w:color w:val="000000"/>
          <w:sz w:val="22"/>
          <w:szCs w:val="22"/>
          <w:lang w:eastAsia="en-GB"/>
        </w:rPr>
        <w:t xml:space="preserve">d will require disclosure of any single investment exceeding either 5% of the net assets available for benefits or 5% of any class or type of security.  This is consistent with the approach taken in the </w:t>
      </w:r>
      <w:r w:rsidRPr="00F615E2">
        <w:rPr>
          <w:rFonts w:ascii="Arial" w:eastAsia="Arial Unicode MS" w:hAnsi="Arial" w:cs="Arial"/>
          <w:i/>
          <w:iCs/>
          <w:color w:val="000000"/>
          <w:sz w:val="22"/>
          <w:szCs w:val="22"/>
          <w:lang w:eastAsia="en-GB"/>
        </w:rPr>
        <w:t>Financial Reports of Pension Schemes – A Statement of</w:t>
      </w:r>
      <w:r w:rsidRPr="00F615E2">
        <w:rPr>
          <w:rFonts w:ascii="Arial" w:eastAsia="Arial Unicode MS" w:hAnsi="Arial" w:cs="Arial"/>
          <w:i/>
          <w:iCs/>
          <w:color w:val="000000"/>
          <w:sz w:val="22"/>
          <w:szCs w:val="22"/>
          <w:lang w:eastAsia="en-GB"/>
        </w:rPr>
        <w:t xml:space="preserve"> Recommended Practice </w:t>
      </w:r>
      <w:proofErr w:type="gramStart"/>
      <w:r w:rsidRPr="00F615E2">
        <w:rPr>
          <w:rFonts w:ascii="Arial" w:eastAsia="Arial Unicode MS" w:hAnsi="Arial" w:cs="Arial"/>
          <w:i/>
          <w:iCs/>
          <w:color w:val="000000"/>
          <w:sz w:val="22"/>
          <w:szCs w:val="22"/>
          <w:lang w:eastAsia="en-GB"/>
        </w:rPr>
        <w:t>2015'</w:t>
      </w:r>
      <w:r w:rsidRPr="00F615E2">
        <w:rPr>
          <w:rFonts w:ascii="Arial" w:eastAsia="Arial Unicode MS" w:hAnsi="Arial" w:cs="Arial"/>
          <w:color w:val="000000"/>
          <w:sz w:val="22"/>
          <w:szCs w:val="22"/>
          <w:lang w:eastAsia="en-GB"/>
        </w:rPr>
        <w:t xml:space="preserve"> . </w:t>
      </w:r>
      <w:proofErr w:type="gramEnd"/>
      <w:r w:rsidRPr="00F615E2">
        <w:rPr>
          <w:rFonts w:ascii="Arial" w:eastAsia="Arial Unicode MS" w:hAnsi="Arial" w:cs="Arial"/>
          <w:color w:val="000000"/>
          <w:sz w:val="22"/>
          <w:szCs w:val="22"/>
          <w:lang w:eastAsia="en-GB"/>
        </w:rPr>
        <w:t xml:space="preserve"> No material impact on the accounts of the Fund is expected.</w:t>
      </w:r>
      <w:r w:rsidRPr="00F83792">
        <w:rPr>
          <w:rFonts w:ascii="Arial" w:eastAsia="Arial Unicode MS" w:hAnsi="Arial" w:cs="Arial"/>
          <w:color w:val="000000"/>
          <w:sz w:val="22"/>
          <w:szCs w:val="22"/>
          <w:lang w:eastAsia="en-GB"/>
        </w:rPr>
        <w:t xml:space="preserve">  </w:t>
      </w:r>
    </w:p>
    <w:p w:rsidR="004A0E1E" w:rsidRPr="00F83792" w:rsidRDefault="00E56C9A" w:rsidP="004A0E1E">
      <w:pPr>
        <w:autoSpaceDE w:val="0"/>
        <w:autoSpaceDN w:val="0"/>
        <w:adjustRightInd w:val="0"/>
        <w:rPr>
          <w:rFonts w:ascii="Arial" w:hAnsi="Arial" w:cs="Arial"/>
          <w:color w:val="000000"/>
          <w:lang w:eastAsia="en-GB"/>
        </w:rPr>
      </w:pPr>
    </w:p>
    <w:p w:rsidR="00DC78E9" w:rsidRPr="00F83792" w:rsidRDefault="00E56C9A" w:rsidP="00DC78E9">
      <w:pPr>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numPr>
          <w:ilvl w:val="0"/>
          <w:numId w:val="6"/>
        </w:numPr>
        <w:tabs>
          <w:tab w:val="num" w:pos="567"/>
          <w:tab w:val="num" w:pos="720"/>
        </w:tabs>
        <w:autoSpaceDE w:val="0"/>
        <w:autoSpaceDN w:val="0"/>
        <w:adjustRightInd w:val="0"/>
        <w:ind w:left="567" w:hanging="567"/>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ACCOUNTING POLICIES</w:t>
      </w:r>
    </w:p>
    <w:p w:rsidR="00DC78E9" w:rsidRPr="00F83792" w:rsidRDefault="00E56C9A" w:rsidP="00DC78E9">
      <w:pPr>
        <w:autoSpaceDE w:val="0"/>
        <w:autoSpaceDN w:val="0"/>
        <w:adjustRightInd w:val="0"/>
        <w:ind w:left="567"/>
        <w:jc w:val="both"/>
        <w:rPr>
          <w:rFonts w:ascii="Arial" w:eastAsia="Arial Unicode MS" w:hAnsi="Arial" w:cs="Arial"/>
          <w:b/>
          <w:color w:val="000000"/>
          <w:szCs w:val="22"/>
        </w:rPr>
      </w:pPr>
    </w:p>
    <w:p w:rsidR="00DC78E9" w:rsidRPr="00F83792" w:rsidRDefault="00E56C9A" w:rsidP="00DC78E9">
      <w:pPr>
        <w:numPr>
          <w:ilvl w:val="1"/>
          <w:numId w:val="10"/>
        </w:numPr>
        <w:tabs>
          <w:tab w:val="left" w:pos="567"/>
        </w:tabs>
        <w:autoSpaceDE w:val="0"/>
        <w:autoSpaceDN w:val="0"/>
        <w:adjustRightInd w:val="0"/>
        <w:ind w:left="567" w:hanging="567"/>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Fund Account - revenue recognition</w:t>
      </w:r>
    </w:p>
    <w:p w:rsidR="00DC78E9" w:rsidRPr="00F83792" w:rsidRDefault="00E56C9A" w:rsidP="00DC78E9">
      <w:pPr>
        <w:autoSpaceDE w:val="0"/>
        <w:autoSpaceDN w:val="0"/>
        <w:adjustRightInd w:val="0"/>
        <w:jc w:val="both"/>
        <w:rPr>
          <w:rFonts w:ascii="Arial" w:eastAsia="Arial Unicode MS" w:hAnsi="Arial" w:cs="Arial"/>
          <w:b/>
          <w:color w:val="000000"/>
          <w:szCs w:val="22"/>
        </w:rPr>
      </w:pPr>
    </w:p>
    <w:p w:rsidR="00DC78E9" w:rsidRPr="00F83792" w:rsidRDefault="00E56C9A" w:rsidP="00DC78E9">
      <w:pPr>
        <w:tabs>
          <w:tab w:val="num" w:pos="851"/>
        </w:tabs>
        <w:autoSpaceDE w:val="0"/>
        <w:autoSpaceDN w:val="0"/>
        <w:adjustRightInd w:val="0"/>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3.1.1 Contribution income</w:t>
      </w:r>
    </w:p>
    <w:p w:rsidR="00DC78E9" w:rsidRPr="00F83792" w:rsidRDefault="00E56C9A" w:rsidP="00DC78E9">
      <w:pPr>
        <w:tabs>
          <w:tab w:val="num" w:pos="851"/>
        </w:tabs>
        <w:autoSpaceDE w:val="0"/>
        <w:autoSpaceDN w:val="0"/>
        <w:adjustRightInd w:val="0"/>
        <w:ind w:left="567"/>
        <w:jc w:val="both"/>
        <w:rPr>
          <w:rFonts w:ascii="Arial" w:eastAsia="Arial Unicode MS" w:hAnsi="Arial" w:cs="Arial"/>
          <w:b/>
          <w:color w:val="000000"/>
          <w:sz w:val="22"/>
          <w:szCs w:val="22"/>
        </w:rPr>
      </w:pPr>
    </w:p>
    <w:p w:rsidR="00DC78E9" w:rsidRPr="00F83792" w:rsidRDefault="00E56C9A" w:rsidP="00DC78E9">
      <w:pPr>
        <w:tabs>
          <w:tab w:val="left" w:pos="851"/>
        </w:tabs>
        <w:jc w:val="both"/>
        <w:rPr>
          <w:rFonts w:ascii="Arial" w:eastAsia="Arial Unicode MS" w:hAnsi="Arial" w:cs="Arial"/>
          <w:color w:val="000000"/>
          <w:sz w:val="22"/>
          <w:szCs w:val="22"/>
        </w:rPr>
      </w:pPr>
      <w:r w:rsidRPr="00F83792">
        <w:rPr>
          <w:rFonts w:ascii="Arial" w:eastAsia="Arial Unicode MS" w:hAnsi="Arial" w:cs="Arial"/>
          <w:color w:val="000000"/>
          <w:sz w:val="22"/>
          <w:szCs w:val="22"/>
        </w:rPr>
        <w:t>Normal contributions</w:t>
      </w:r>
      <w:r w:rsidRPr="00F83792">
        <w:rPr>
          <w:rFonts w:ascii="Arial" w:eastAsia="Arial Unicode MS" w:hAnsi="Arial" w:cs="Arial"/>
          <w:color w:val="000000"/>
          <w:sz w:val="22"/>
          <w:szCs w:val="22"/>
        </w:rPr>
        <w:t>,</w:t>
      </w:r>
      <w:r w:rsidRPr="00F83792">
        <w:rPr>
          <w:rFonts w:ascii="Arial" w:eastAsia="Arial Unicode MS" w:hAnsi="Arial" w:cs="Arial"/>
          <w:color w:val="000000"/>
          <w:sz w:val="22"/>
          <w:szCs w:val="22"/>
        </w:rPr>
        <w:t xml:space="preserve"> both from the members and from the employer</w:t>
      </w:r>
      <w:r w:rsidRPr="00F83792">
        <w:rPr>
          <w:rFonts w:ascii="Arial" w:eastAsia="Arial Unicode MS" w:hAnsi="Arial" w:cs="Arial"/>
          <w:color w:val="000000"/>
          <w:sz w:val="22"/>
          <w:szCs w:val="22"/>
        </w:rPr>
        <w:t>,</w:t>
      </w:r>
      <w:r w:rsidRPr="00F83792">
        <w:rPr>
          <w:rFonts w:ascii="Arial" w:eastAsia="Arial Unicode MS" w:hAnsi="Arial" w:cs="Arial"/>
          <w:color w:val="000000"/>
          <w:sz w:val="22"/>
          <w:szCs w:val="22"/>
        </w:rPr>
        <w:t xml:space="preserve"> are accounted for on an accruals basis. Member contributions are in accordance with the LGPS Regulations 2013 and employer contributions are at the percentage rate recommended by the scheme actuary, in the payroll period to which they relate.</w:t>
      </w:r>
    </w:p>
    <w:p w:rsidR="00DC78E9" w:rsidRPr="00F83792" w:rsidRDefault="00E56C9A" w:rsidP="00DC78E9">
      <w:pPr>
        <w:tabs>
          <w:tab w:val="left" w:pos="851"/>
        </w:tabs>
        <w:ind w:left="567"/>
        <w:jc w:val="both"/>
        <w:rPr>
          <w:rFonts w:ascii="Arial" w:eastAsia="Arial Unicode MS" w:hAnsi="Arial" w:cs="Arial"/>
        </w:rPr>
      </w:pPr>
    </w:p>
    <w:p w:rsidR="00DC78E9" w:rsidRPr="00F83792" w:rsidRDefault="00E56C9A" w:rsidP="00DC78E9">
      <w:pPr>
        <w:tabs>
          <w:tab w:val="left" w:pos="851"/>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Employer de</w:t>
      </w:r>
      <w:r w:rsidRPr="00F83792">
        <w:rPr>
          <w:rFonts w:ascii="Arial" w:eastAsia="Arial Unicode MS" w:hAnsi="Arial" w:cs="Arial"/>
          <w:color w:val="000000"/>
          <w:sz w:val="22"/>
          <w:szCs w:val="22"/>
        </w:rPr>
        <w:t>ficit funding contributions are accounted for on the due dates on which they are payable under the schedule of contributions set by the scheme actuary</w:t>
      </w:r>
      <w:r w:rsidRPr="00F83792">
        <w:rPr>
          <w:rFonts w:ascii="Arial" w:eastAsia="Arial Unicode MS" w:hAnsi="Arial" w:cs="Arial"/>
          <w:color w:val="000000"/>
          <w:sz w:val="22"/>
          <w:szCs w:val="22"/>
        </w:rPr>
        <w:t>.  Any receipts in advance are accounted for as accrued income.</w:t>
      </w: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p>
    <w:p w:rsidR="00DC78E9" w:rsidRPr="00F83792" w:rsidRDefault="00E56C9A" w:rsidP="00DC78E9">
      <w:pPr>
        <w:autoSpaceDE w:val="0"/>
        <w:autoSpaceDN w:val="0"/>
        <w:adjustRightInd w:val="0"/>
        <w:jc w:val="both"/>
        <w:rPr>
          <w:rFonts w:ascii="Arial" w:eastAsia="Arial Unicode MS" w:hAnsi="Arial" w:cs="Arial"/>
          <w:b/>
          <w:color w:val="000000"/>
          <w:sz w:val="22"/>
          <w:szCs w:val="22"/>
        </w:rPr>
      </w:pPr>
      <w:r w:rsidRPr="00F83792">
        <w:rPr>
          <w:rFonts w:ascii="Arial" w:eastAsia="Arial Unicode MS" w:hAnsi="Arial" w:cs="Arial"/>
          <w:color w:val="000000"/>
          <w:sz w:val="22"/>
          <w:szCs w:val="22"/>
        </w:rPr>
        <w:t>Employers' augmentation contributions and</w:t>
      </w:r>
      <w:r w:rsidRPr="00F83792">
        <w:rPr>
          <w:rFonts w:ascii="Arial" w:eastAsia="Arial Unicode MS" w:hAnsi="Arial" w:cs="Arial"/>
          <w:color w:val="000000"/>
          <w:sz w:val="22"/>
          <w:szCs w:val="22"/>
        </w:rPr>
        <w:t xml:space="preserve"> pension strain contributions are accounted for</w:t>
      </w:r>
      <w:r w:rsidRPr="00F83792">
        <w:rPr>
          <w:rFonts w:ascii="Arial" w:eastAsia="Arial Unicode MS" w:hAnsi="Arial" w:cs="Arial"/>
          <w:b/>
          <w:color w:val="000000"/>
          <w:sz w:val="22"/>
          <w:szCs w:val="22"/>
        </w:rPr>
        <w:t xml:space="preserve"> </w:t>
      </w:r>
      <w:r w:rsidRPr="00F83792">
        <w:rPr>
          <w:rFonts w:ascii="Arial" w:eastAsia="Arial Unicode MS" w:hAnsi="Arial" w:cs="Arial"/>
          <w:color w:val="000000"/>
          <w:sz w:val="22"/>
          <w:szCs w:val="22"/>
        </w:rPr>
        <w:t>in</w:t>
      </w:r>
      <w:r w:rsidRPr="00F83792">
        <w:rPr>
          <w:rFonts w:ascii="Arial" w:eastAsia="Arial Unicode MS" w:hAnsi="Arial" w:cs="Arial"/>
          <w:b/>
          <w:color w:val="000000"/>
          <w:sz w:val="22"/>
          <w:szCs w:val="22"/>
        </w:rPr>
        <w:t xml:space="preserve"> </w:t>
      </w:r>
      <w:r w:rsidRPr="00F83792">
        <w:rPr>
          <w:rFonts w:ascii="Arial" w:eastAsia="Arial Unicode MS" w:hAnsi="Arial" w:cs="Arial"/>
          <w:color w:val="000000"/>
          <w:sz w:val="22"/>
          <w:szCs w:val="22"/>
        </w:rPr>
        <w:t>the period in which the liability arises.  Any amount due in the year but unpaid will be classed as a current financial asset.  Amounts not due until future years are classed as long term financial assets.</w:t>
      </w:r>
      <w:r w:rsidRPr="00F83792">
        <w:rPr>
          <w:rFonts w:ascii="Arial" w:eastAsia="Arial Unicode MS" w:hAnsi="Arial" w:cs="Arial"/>
          <w:b/>
          <w:color w:val="000000"/>
          <w:sz w:val="22"/>
          <w:szCs w:val="22"/>
        </w:rPr>
        <w:t xml:space="preserve"> </w:t>
      </w:r>
    </w:p>
    <w:p w:rsidR="00DC78E9" w:rsidRPr="00F83792" w:rsidRDefault="00E56C9A" w:rsidP="00DC78E9">
      <w:pPr>
        <w:autoSpaceDE w:val="0"/>
        <w:autoSpaceDN w:val="0"/>
        <w:adjustRightInd w:val="0"/>
        <w:ind w:left="851"/>
        <w:jc w:val="both"/>
        <w:rPr>
          <w:rFonts w:ascii="Arial" w:eastAsia="Arial Unicode MS" w:hAnsi="Arial" w:cs="Arial"/>
          <w:b/>
          <w:color w:val="000000"/>
          <w:sz w:val="22"/>
          <w:szCs w:val="22"/>
        </w:rPr>
      </w:pPr>
    </w:p>
    <w:p w:rsidR="00DC78E9" w:rsidRPr="00F83792" w:rsidRDefault="00E56C9A" w:rsidP="00DC78E9">
      <w:pPr>
        <w:autoSpaceDE w:val="0"/>
        <w:autoSpaceDN w:val="0"/>
        <w:adjustRightInd w:val="0"/>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3.1.2 Transfers to and from other schemes</w:t>
      </w:r>
    </w:p>
    <w:p w:rsidR="00DC78E9" w:rsidRPr="00F83792" w:rsidRDefault="00E56C9A" w:rsidP="00DC78E9">
      <w:pPr>
        <w:autoSpaceDE w:val="0"/>
        <w:autoSpaceDN w:val="0"/>
        <w:adjustRightInd w:val="0"/>
        <w:jc w:val="both"/>
        <w:rPr>
          <w:rFonts w:ascii="Arial" w:eastAsia="Arial Unicode MS" w:hAnsi="Arial" w:cs="Arial"/>
          <w:b/>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Transfer values represent amounts received and paid during the period for individual members who have either joined or left the Fund during the financial year and are calculated in accordance with Local Governm</w:t>
      </w:r>
      <w:r w:rsidRPr="00F83792">
        <w:rPr>
          <w:rFonts w:ascii="Arial" w:eastAsia="Arial Unicode MS" w:hAnsi="Arial" w:cs="Arial"/>
          <w:color w:val="000000"/>
          <w:sz w:val="22"/>
          <w:szCs w:val="22"/>
        </w:rPr>
        <w:t>ent Pension Scheme Regulations</w:t>
      </w:r>
      <w:r w:rsidRPr="00F83792">
        <w:rPr>
          <w:rFonts w:ascii="Arial" w:eastAsia="Arial Unicode MS" w:hAnsi="Arial" w:cs="Arial"/>
          <w:color w:val="000000"/>
          <w:sz w:val="22"/>
          <w:szCs w:val="22"/>
        </w:rPr>
        <w:t xml:space="preserve"> 2013</w:t>
      </w:r>
      <w:r w:rsidRPr="00F83792">
        <w:rPr>
          <w:rFonts w:ascii="Arial" w:eastAsia="Arial Unicode MS" w:hAnsi="Arial" w:cs="Arial"/>
          <w:color w:val="000000"/>
          <w:sz w:val="22"/>
          <w:szCs w:val="22"/>
        </w:rPr>
        <w:t>.</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color w:val="000000"/>
          <w:sz w:val="22"/>
          <w:szCs w:val="22"/>
          <w:highlight w:val="yellow"/>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Individual transfers in/out are accounted for when received/paid, which is when the member liability is accepted or discharged.</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Transfers in from members wishing to use the proceeds of their additional voluntary </w:t>
      </w:r>
      <w:r w:rsidRPr="00F83792">
        <w:rPr>
          <w:rFonts w:ascii="Arial" w:eastAsia="Arial Unicode MS" w:hAnsi="Arial" w:cs="Arial"/>
          <w:color w:val="000000"/>
          <w:sz w:val="22"/>
          <w:szCs w:val="22"/>
        </w:rPr>
        <w:t>contributions to purchase scheme benefits are accounted for on a receipts basis and are included in transfers in.</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Bulk (group) transfers are accounted for on an accruals basis in accordance with the terms of the transfer agreement.</w:t>
      </w:r>
    </w:p>
    <w:p w:rsidR="00DC78E9" w:rsidRPr="00F83792" w:rsidRDefault="00E56C9A" w:rsidP="00DC78E9">
      <w:pPr>
        <w:tabs>
          <w:tab w:val="left" w:pos="851"/>
        </w:tabs>
        <w:autoSpaceDE w:val="0"/>
        <w:autoSpaceDN w:val="0"/>
        <w:adjustRightInd w:val="0"/>
        <w:ind w:left="851"/>
        <w:jc w:val="both"/>
        <w:rPr>
          <w:rFonts w:ascii="Arial" w:eastAsia="Arial Unicode MS" w:hAnsi="Arial" w:cs="Arial"/>
          <w:color w:val="000000"/>
          <w:sz w:val="22"/>
          <w:szCs w:val="22"/>
        </w:rPr>
      </w:pPr>
    </w:p>
    <w:p w:rsidR="00DC78E9" w:rsidRPr="00F83792" w:rsidRDefault="00E56C9A" w:rsidP="00DC78E9">
      <w:pPr>
        <w:numPr>
          <w:ilvl w:val="2"/>
          <w:numId w:val="11"/>
        </w:numPr>
        <w:tabs>
          <w:tab w:val="left" w:pos="851"/>
        </w:tabs>
        <w:autoSpaceDE w:val="0"/>
        <w:autoSpaceDN w:val="0"/>
        <w:adjustRightInd w:val="0"/>
        <w:ind w:left="567" w:hanging="567"/>
        <w:contextualSpacing/>
        <w:jc w:val="both"/>
        <w:rPr>
          <w:rFonts w:ascii="Arial" w:eastAsia="Arial Unicode MS" w:hAnsi="Arial" w:cs="Arial"/>
          <w:color w:val="000000"/>
          <w:sz w:val="32"/>
          <w:szCs w:val="22"/>
        </w:rPr>
      </w:pPr>
      <w:r w:rsidRPr="00F83792">
        <w:rPr>
          <w:rFonts w:ascii="Arial" w:eastAsia="Arial Unicode MS" w:hAnsi="Arial" w:cs="Arial"/>
          <w:b/>
          <w:color w:val="000000"/>
          <w:sz w:val="32"/>
          <w:szCs w:val="22"/>
        </w:rPr>
        <w:t>Investment income</w:t>
      </w:r>
    </w:p>
    <w:p w:rsidR="00DC78E9" w:rsidRPr="00F83792" w:rsidRDefault="00E56C9A" w:rsidP="00DC78E9">
      <w:pPr>
        <w:tabs>
          <w:tab w:val="left" w:pos="851"/>
        </w:tabs>
        <w:autoSpaceDE w:val="0"/>
        <w:autoSpaceDN w:val="0"/>
        <w:adjustRightInd w:val="0"/>
        <w:ind w:left="1276"/>
        <w:contextualSpacing/>
        <w:jc w:val="both"/>
        <w:rPr>
          <w:rFonts w:ascii="Arial" w:eastAsia="Arial Unicode MS" w:hAnsi="Arial" w:cs="Arial"/>
          <w:color w:val="000000"/>
          <w:szCs w:val="22"/>
        </w:rPr>
      </w:pPr>
    </w:p>
    <w:p w:rsidR="00DC78E9" w:rsidRPr="00F83792" w:rsidRDefault="00E56C9A" w:rsidP="00DC78E9">
      <w:pPr>
        <w:pStyle w:val="ListParagraph"/>
        <w:numPr>
          <w:ilvl w:val="3"/>
          <w:numId w:val="11"/>
        </w:numPr>
        <w:tabs>
          <w:tab w:val="left" w:pos="709"/>
        </w:tabs>
        <w:ind w:left="567" w:hanging="567"/>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Int</w:t>
      </w:r>
      <w:r w:rsidRPr="00F83792">
        <w:rPr>
          <w:rFonts w:ascii="Arial" w:eastAsia="Arial Unicode MS" w:hAnsi="Arial" w:cs="Arial"/>
          <w:b/>
          <w:color w:val="000000"/>
          <w:sz w:val="32"/>
          <w:szCs w:val="22"/>
        </w:rPr>
        <w:t>erest income</w:t>
      </w:r>
    </w:p>
    <w:p w:rsidR="00DC78E9" w:rsidRPr="00F83792" w:rsidRDefault="00E56C9A" w:rsidP="00DC78E9">
      <w:pPr>
        <w:pStyle w:val="ListParagraph"/>
        <w:tabs>
          <w:tab w:val="left" w:pos="709"/>
        </w:tabs>
        <w:ind w:left="1929"/>
        <w:contextualSpacing/>
        <w:jc w:val="both"/>
        <w:rPr>
          <w:rFonts w:ascii="Arial" w:eastAsia="Arial Unicode MS" w:hAnsi="Arial" w:cs="Arial"/>
          <w:color w:val="000000"/>
          <w:sz w:val="22"/>
          <w:szCs w:val="22"/>
        </w:rPr>
      </w:pPr>
    </w:p>
    <w:p w:rsidR="00DC78E9" w:rsidRPr="00F83792" w:rsidRDefault="00E56C9A" w:rsidP="00DC78E9">
      <w:pPr>
        <w:tabs>
          <w:tab w:val="left" w:pos="709"/>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Interest income is recognised in the fund account as it accrues, using the effective interest rate of the financial instrument as at the date of acquisition or origination.  Income includes the amortisation of any discount or premium, </w:t>
      </w:r>
      <w:r w:rsidRPr="00F83792">
        <w:rPr>
          <w:rFonts w:ascii="Arial" w:eastAsia="Arial Unicode MS" w:hAnsi="Arial" w:cs="Arial"/>
          <w:color w:val="000000"/>
          <w:sz w:val="22"/>
          <w:szCs w:val="22"/>
        </w:rPr>
        <w:t>transaction costs or other differences between the initial carrying amount of the instrument and its amount at maturity calculated on an effective interest rate basis.</w:t>
      </w:r>
    </w:p>
    <w:p w:rsidR="00DC78E9" w:rsidRPr="00F83792" w:rsidRDefault="00E56C9A" w:rsidP="00DC78E9">
      <w:pPr>
        <w:tabs>
          <w:tab w:val="left" w:pos="709"/>
        </w:tabs>
        <w:autoSpaceDE w:val="0"/>
        <w:autoSpaceDN w:val="0"/>
        <w:adjustRightInd w:val="0"/>
        <w:jc w:val="both"/>
        <w:rPr>
          <w:rFonts w:ascii="Arial" w:eastAsia="Arial Unicode MS" w:hAnsi="Arial" w:cs="Arial"/>
          <w:color w:val="000000"/>
          <w:sz w:val="22"/>
          <w:szCs w:val="22"/>
        </w:rPr>
      </w:pPr>
    </w:p>
    <w:p w:rsidR="00DC78E9" w:rsidRPr="00F83792" w:rsidRDefault="00E56C9A" w:rsidP="00DC78E9">
      <w:pPr>
        <w:numPr>
          <w:ilvl w:val="3"/>
          <w:numId w:val="13"/>
        </w:numPr>
        <w:tabs>
          <w:tab w:val="left" w:pos="709"/>
        </w:tabs>
        <w:autoSpaceDE w:val="0"/>
        <w:autoSpaceDN w:val="0"/>
        <w:adjustRightInd w:val="0"/>
        <w:ind w:left="1418" w:hanging="1418"/>
        <w:contextualSpacing/>
        <w:jc w:val="both"/>
        <w:rPr>
          <w:rFonts w:ascii="Arial" w:eastAsia="Arial Unicode MS" w:hAnsi="Arial" w:cs="Arial"/>
          <w:color w:val="000000"/>
          <w:sz w:val="32"/>
          <w:szCs w:val="22"/>
        </w:rPr>
      </w:pPr>
      <w:r w:rsidRPr="00F83792">
        <w:rPr>
          <w:rFonts w:ascii="Arial" w:eastAsia="Arial Unicode MS" w:hAnsi="Arial" w:cs="Arial"/>
          <w:b/>
          <w:color w:val="000000"/>
          <w:sz w:val="32"/>
          <w:szCs w:val="22"/>
        </w:rPr>
        <w:t>Dividend income</w:t>
      </w:r>
    </w:p>
    <w:p w:rsidR="00DC78E9" w:rsidRPr="00F83792" w:rsidRDefault="00E56C9A" w:rsidP="00DC78E9">
      <w:pPr>
        <w:tabs>
          <w:tab w:val="left" w:pos="709"/>
        </w:tabs>
        <w:autoSpaceDE w:val="0"/>
        <w:autoSpaceDN w:val="0"/>
        <w:adjustRightInd w:val="0"/>
        <w:ind w:left="1560"/>
        <w:contextualSpacing/>
        <w:jc w:val="both"/>
        <w:rPr>
          <w:rFonts w:ascii="Arial" w:eastAsia="Arial Unicode MS" w:hAnsi="Arial" w:cs="Arial"/>
          <w:color w:val="000000"/>
          <w:szCs w:val="22"/>
        </w:rPr>
      </w:pPr>
    </w:p>
    <w:p w:rsidR="00DC78E9" w:rsidRPr="00F83792" w:rsidRDefault="00E56C9A" w:rsidP="00DC78E9">
      <w:pPr>
        <w:tabs>
          <w:tab w:val="left" w:pos="709"/>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Dividend income is recognised on the date the shares are quoted ex-div</w:t>
      </w:r>
      <w:r w:rsidRPr="00F83792">
        <w:rPr>
          <w:rFonts w:ascii="Arial" w:eastAsia="Arial Unicode MS" w:hAnsi="Arial" w:cs="Arial"/>
          <w:color w:val="000000"/>
          <w:sz w:val="22"/>
          <w:szCs w:val="22"/>
        </w:rPr>
        <w:t>idend.  Any amount not received by the end of the reporting period is disclosed in the net assets statement as a current financial asset.</w:t>
      </w:r>
    </w:p>
    <w:p w:rsidR="00DC78E9" w:rsidRPr="00F83792" w:rsidRDefault="00E56C9A" w:rsidP="00DC78E9">
      <w:pPr>
        <w:tabs>
          <w:tab w:val="left" w:pos="851"/>
        </w:tabs>
        <w:autoSpaceDE w:val="0"/>
        <w:autoSpaceDN w:val="0"/>
        <w:adjustRightInd w:val="0"/>
        <w:ind w:left="927"/>
        <w:jc w:val="both"/>
        <w:rPr>
          <w:rFonts w:ascii="Arial" w:eastAsia="Arial Unicode MS" w:hAnsi="Arial" w:cs="Arial"/>
          <w:color w:val="000000"/>
          <w:sz w:val="22"/>
          <w:szCs w:val="22"/>
        </w:rPr>
      </w:pPr>
    </w:p>
    <w:p w:rsidR="00DC78E9" w:rsidRPr="00F83792" w:rsidRDefault="00E56C9A" w:rsidP="00DC78E9">
      <w:pPr>
        <w:numPr>
          <w:ilvl w:val="3"/>
          <w:numId w:val="13"/>
        </w:numPr>
        <w:tabs>
          <w:tab w:val="left" w:pos="709"/>
        </w:tabs>
        <w:autoSpaceDE w:val="0"/>
        <w:autoSpaceDN w:val="0"/>
        <w:adjustRightInd w:val="0"/>
        <w:ind w:left="1560" w:hanging="1560"/>
        <w:contextualSpacing/>
        <w:jc w:val="both"/>
        <w:rPr>
          <w:rFonts w:ascii="Arial" w:eastAsia="Arial Unicode MS" w:hAnsi="Arial" w:cs="Arial"/>
          <w:color w:val="000000"/>
          <w:sz w:val="32"/>
          <w:szCs w:val="22"/>
        </w:rPr>
      </w:pPr>
      <w:r w:rsidRPr="00F83792">
        <w:rPr>
          <w:rFonts w:ascii="Arial" w:eastAsia="Arial Unicode MS" w:hAnsi="Arial" w:cs="Arial"/>
          <w:b/>
          <w:color w:val="000000"/>
          <w:sz w:val="32"/>
          <w:szCs w:val="22"/>
        </w:rPr>
        <w:t>Distribution from pooled funds</w:t>
      </w:r>
    </w:p>
    <w:p w:rsidR="00DC78E9" w:rsidRPr="00F83792" w:rsidRDefault="00E56C9A" w:rsidP="00DC78E9">
      <w:pPr>
        <w:tabs>
          <w:tab w:val="left" w:pos="709"/>
        </w:tabs>
        <w:autoSpaceDE w:val="0"/>
        <w:autoSpaceDN w:val="0"/>
        <w:adjustRightInd w:val="0"/>
        <w:ind w:left="1560"/>
        <w:contextualSpacing/>
        <w:jc w:val="both"/>
        <w:rPr>
          <w:rFonts w:ascii="Arial" w:eastAsia="Arial Unicode MS" w:hAnsi="Arial" w:cs="Arial"/>
          <w:color w:val="000000"/>
          <w:sz w:val="22"/>
          <w:szCs w:val="22"/>
        </w:rPr>
      </w:pPr>
    </w:p>
    <w:p w:rsidR="00DC78E9" w:rsidRPr="00F83792" w:rsidRDefault="00E56C9A" w:rsidP="00DC78E9">
      <w:pPr>
        <w:tabs>
          <w:tab w:val="left" w:pos="709"/>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Distributions from pooled funds are recognised at the date of issue.  Any amount not </w:t>
      </w:r>
      <w:r w:rsidRPr="00F83792">
        <w:rPr>
          <w:rFonts w:ascii="Arial" w:eastAsia="Arial Unicode MS" w:hAnsi="Arial" w:cs="Arial"/>
          <w:color w:val="000000"/>
          <w:sz w:val="22"/>
          <w:szCs w:val="22"/>
        </w:rPr>
        <w:t>received by the end of the reporting period is disclosed in the net assets statement as a current financial asset.</w:t>
      </w:r>
    </w:p>
    <w:p w:rsidR="00DC78E9" w:rsidRPr="00F83792" w:rsidRDefault="00E56C9A" w:rsidP="00DC78E9">
      <w:pPr>
        <w:tabs>
          <w:tab w:val="left" w:pos="851"/>
        </w:tabs>
        <w:autoSpaceDE w:val="0"/>
        <w:autoSpaceDN w:val="0"/>
        <w:adjustRightInd w:val="0"/>
        <w:ind w:left="927"/>
        <w:jc w:val="both"/>
        <w:rPr>
          <w:rFonts w:ascii="Arial" w:eastAsia="Arial Unicode MS" w:hAnsi="Arial" w:cs="Arial"/>
          <w:color w:val="000000"/>
          <w:sz w:val="22"/>
          <w:szCs w:val="22"/>
        </w:rPr>
      </w:pPr>
    </w:p>
    <w:p w:rsidR="00DC78E9" w:rsidRPr="00F83792" w:rsidRDefault="00E56C9A" w:rsidP="00DC78E9">
      <w:pPr>
        <w:numPr>
          <w:ilvl w:val="3"/>
          <w:numId w:val="13"/>
        </w:numPr>
        <w:tabs>
          <w:tab w:val="left" w:pos="709"/>
        </w:tabs>
        <w:autoSpaceDE w:val="0"/>
        <w:autoSpaceDN w:val="0"/>
        <w:adjustRightInd w:val="0"/>
        <w:ind w:left="1560" w:hanging="1560"/>
        <w:contextualSpacing/>
        <w:jc w:val="both"/>
        <w:rPr>
          <w:rFonts w:ascii="Arial" w:eastAsia="Arial Unicode MS" w:hAnsi="Arial" w:cs="Arial"/>
          <w:color w:val="000000"/>
          <w:sz w:val="32"/>
          <w:szCs w:val="22"/>
        </w:rPr>
      </w:pPr>
      <w:r w:rsidRPr="00F83792">
        <w:rPr>
          <w:rFonts w:ascii="Arial" w:eastAsia="Arial Unicode MS" w:hAnsi="Arial" w:cs="Arial"/>
          <w:b/>
          <w:color w:val="000000"/>
          <w:sz w:val="32"/>
          <w:szCs w:val="22"/>
        </w:rPr>
        <w:t>Property</w:t>
      </w:r>
      <w:r>
        <w:rPr>
          <w:rFonts w:ascii="Arial" w:eastAsia="Arial Unicode MS" w:hAnsi="Arial" w:cs="Arial"/>
          <w:b/>
          <w:color w:val="000000"/>
          <w:sz w:val="32"/>
          <w:szCs w:val="22"/>
        </w:rPr>
        <w:t xml:space="preserve"> </w:t>
      </w:r>
      <w:r w:rsidRPr="00F83792">
        <w:rPr>
          <w:rFonts w:ascii="Arial" w:eastAsia="Arial Unicode MS" w:hAnsi="Arial" w:cs="Arial"/>
          <w:b/>
          <w:color w:val="000000"/>
          <w:sz w:val="32"/>
          <w:szCs w:val="22"/>
        </w:rPr>
        <w:t>related income</w:t>
      </w:r>
    </w:p>
    <w:p w:rsidR="00DC78E9" w:rsidRPr="00F83792" w:rsidRDefault="00E56C9A" w:rsidP="00DC78E9">
      <w:pPr>
        <w:tabs>
          <w:tab w:val="left" w:pos="709"/>
        </w:tabs>
        <w:autoSpaceDE w:val="0"/>
        <w:autoSpaceDN w:val="0"/>
        <w:adjustRightInd w:val="0"/>
        <w:ind w:left="1560"/>
        <w:contextualSpacing/>
        <w:jc w:val="both"/>
        <w:rPr>
          <w:rFonts w:ascii="Arial" w:eastAsia="Arial Unicode MS" w:hAnsi="Arial" w:cs="Arial"/>
          <w:color w:val="000000"/>
          <w:sz w:val="22"/>
          <w:szCs w:val="22"/>
        </w:rPr>
      </w:pPr>
    </w:p>
    <w:p w:rsidR="00DC78E9" w:rsidRPr="00F83792" w:rsidRDefault="00E56C9A" w:rsidP="00DC78E9">
      <w:pPr>
        <w:tabs>
          <w:tab w:val="left" w:pos="709"/>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Property-related income consists primarily of rental income.</w:t>
      </w:r>
    </w:p>
    <w:p w:rsidR="00DC78E9" w:rsidRPr="00F83792" w:rsidRDefault="00E56C9A" w:rsidP="00DC78E9">
      <w:pPr>
        <w:tabs>
          <w:tab w:val="left" w:pos="709"/>
        </w:tabs>
        <w:autoSpaceDE w:val="0"/>
        <w:autoSpaceDN w:val="0"/>
        <w:adjustRightInd w:val="0"/>
        <w:ind w:left="709"/>
        <w:jc w:val="both"/>
        <w:rPr>
          <w:rFonts w:ascii="Arial" w:eastAsia="Arial Unicode MS" w:hAnsi="Arial" w:cs="Arial"/>
          <w:color w:val="000000"/>
          <w:sz w:val="22"/>
          <w:szCs w:val="22"/>
        </w:rPr>
      </w:pPr>
    </w:p>
    <w:p w:rsidR="00DC78E9" w:rsidRPr="00F83792" w:rsidRDefault="00E56C9A" w:rsidP="00DC78E9">
      <w:pPr>
        <w:tabs>
          <w:tab w:val="left" w:pos="709"/>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Rental income from operating leases on properties </w:t>
      </w:r>
      <w:r w:rsidRPr="00F83792">
        <w:rPr>
          <w:rFonts w:ascii="Arial" w:eastAsia="Arial Unicode MS" w:hAnsi="Arial" w:cs="Arial"/>
          <w:color w:val="000000"/>
          <w:sz w:val="22"/>
          <w:szCs w:val="22"/>
        </w:rPr>
        <w:t>owned by the Fund is recognised on a straight line basis over the term of the lease.  Any lease incentives granted are recognised as an integral part of the total rental income, over the term of the lease.</w:t>
      </w:r>
    </w:p>
    <w:p w:rsidR="00DC78E9" w:rsidRPr="00F83792" w:rsidRDefault="00E56C9A" w:rsidP="00DC78E9">
      <w:pPr>
        <w:tabs>
          <w:tab w:val="left" w:pos="709"/>
        </w:tabs>
        <w:autoSpaceDE w:val="0"/>
        <w:autoSpaceDN w:val="0"/>
        <w:adjustRightInd w:val="0"/>
        <w:jc w:val="both"/>
        <w:rPr>
          <w:rFonts w:ascii="Arial" w:eastAsia="Arial Unicode MS" w:hAnsi="Arial" w:cs="Arial"/>
          <w:color w:val="000000"/>
          <w:sz w:val="22"/>
          <w:szCs w:val="22"/>
        </w:rPr>
      </w:pPr>
    </w:p>
    <w:p w:rsidR="00DC78E9" w:rsidRPr="00F83792" w:rsidRDefault="00E56C9A" w:rsidP="00DC78E9">
      <w:pPr>
        <w:tabs>
          <w:tab w:val="left" w:pos="709"/>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Contingent rents based on the future amount of a </w:t>
      </w:r>
      <w:r w:rsidRPr="00F83792">
        <w:rPr>
          <w:rFonts w:ascii="Arial" w:eastAsia="Arial Unicode MS" w:hAnsi="Arial" w:cs="Arial"/>
          <w:color w:val="000000"/>
          <w:sz w:val="22"/>
          <w:szCs w:val="22"/>
        </w:rPr>
        <w:t>factor that changes other than with the passage of time, such as turnover rents, are only recognised when contractually due.</w:t>
      </w:r>
    </w:p>
    <w:p w:rsidR="00DC78E9" w:rsidRPr="00F83792" w:rsidRDefault="00E56C9A" w:rsidP="00DC78E9">
      <w:pPr>
        <w:tabs>
          <w:tab w:val="left" w:pos="851"/>
        </w:tabs>
        <w:autoSpaceDE w:val="0"/>
        <w:autoSpaceDN w:val="0"/>
        <w:adjustRightInd w:val="0"/>
        <w:ind w:left="851"/>
        <w:jc w:val="both"/>
        <w:rPr>
          <w:rFonts w:ascii="Arial" w:eastAsia="Arial Unicode MS" w:hAnsi="Arial" w:cs="Arial"/>
          <w:color w:val="000000"/>
          <w:sz w:val="22"/>
          <w:szCs w:val="22"/>
        </w:rPr>
      </w:pPr>
    </w:p>
    <w:p w:rsidR="00E330E6" w:rsidRPr="00F83792" w:rsidRDefault="00E56C9A" w:rsidP="00E330E6">
      <w:pPr>
        <w:numPr>
          <w:ilvl w:val="3"/>
          <w:numId w:val="13"/>
        </w:numPr>
        <w:tabs>
          <w:tab w:val="left" w:pos="709"/>
        </w:tabs>
        <w:autoSpaceDE w:val="0"/>
        <w:autoSpaceDN w:val="0"/>
        <w:adjustRightInd w:val="0"/>
        <w:ind w:left="1560" w:hanging="1560"/>
        <w:contextualSpacing/>
        <w:jc w:val="both"/>
        <w:rPr>
          <w:rFonts w:ascii="Arial" w:eastAsia="Arial Unicode MS" w:hAnsi="Arial" w:cs="Arial"/>
          <w:color w:val="000000"/>
          <w:sz w:val="32"/>
          <w:szCs w:val="22"/>
        </w:rPr>
      </w:pPr>
      <w:r>
        <w:rPr>
          <w:rFonts w:ascii="Arial" w:eastAsia="Arial Unicode MS" w:hAnsi="Arial" w:cs="Arial"/>
          <w:b/>
          <w:color w:val="000000"/>
          <w:sz w:val="32"/>
          <w:szCs w:val="22"/>
        </w:rPr>
        <w:t>Movement in the net market value of investments</w:t>
      </w:r>
    </w:p>
    <w:p w:rsidR="00DC78E9" w:rsidRPr="00F83792" w:rsidRDefault="00E56C9A" w:rsidP="00DC78E9">
      <w:pPr>
        <w:tabs>
          <w:tab w:val="left" w:pos="709"/>
        </w:tabs>
        <w:autoSpaceDE w:val="0"/>
        <w:autoSpaceDN w:val="0"/>
        <w:adjustRightInd w:val="0"/>
        <w:ind w:left="1560"/>
        <w:contextualSpacing/>
        <w:jc w:val="both"/>
        <w:rPr>
          <w:rFonts w:ascii="Arial" w:eastAsia="Arial Unicode MS" w:hAnsi="Arial" w:cs="Arial"/>
          <w:color w:val="000000"/>
          <w:sz w:val="22"/>
          <w:szCs w:val="22"/>
        </w:rPr>
      </w:pPr>
    </w:p>
    <w:p w:rsidR="00DC78E9" w:rsidRPr="00F83792" w:rsidRDefault="00E56C9A" w:rsidP="00DC78E9">
      <w:pPr>
        <w:tabs>
          <w:tab w:val="left" w:pos="709"/>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Changes in the net market value of investments (including investment properties) </w:t>
      </w:r>
      <w:r w:rsidRPr="00F83792">
        <w:rPr>
          <w:rFonts w:ascii="Arial" w:eastAsia="Arial Unicode MS" w:hAnsi="Arial" w:cs="Arial"/>
          <w:color w:val="000000"/>
          <w:sz w:val="22"/>
          <w:szCs w:val="22"/>
        </w:rPr>
        <w:t>are recognised as income and comprise all realised and unrealised profits/losses during the year.</w:t>
      </w:r>
    </w:p>
    <w:p w:rsidR="00DC78E9" w:rsidRDefault="00E56C9A" w:rsidP="00DC78E9">
      <w:pPr>
        <w:tabs>
          <w:tab w:val="left" w:pos="851"/>
        </w:tabs>
        <w:autoSpaceDE w:val="0"/>
        <w:autoSpaceDN w:val="0"/>
        <w:adjustRightInd w:val="0"/>
        <w:ind w:left="851"/>
        <w:jc w:val="both"/>
        <w:rPr>
          <w:rFonts w:ascii="Arial" w:eastAsia="Arial Unicode MS" w:hAnsi="Arial" w:cs="Arial"/>
          <w:color w:val="000000"/>
          <w:sz w:val="22"/>
          <w:szCs w:val="22"/>
        </w:rPr>
      </w:pPr>
    </w:p>
    <w:p w:rsidR="00E330E6" w:rsidRPr="00F83792" w:rsidRDefault="00E56C9A" w:rsidP="00DC78E9">
      <w:pPr>
        <w:tabs>
          <w:tab w:val="left" w:pos="851"/>
        </w:tabs>
        <w:autoSpaceDE w:val="0"/>
        <w:autoSpaceDN w:val="0"/>
        <w:adjustRightInd w:val="0"/>
        <w:ind w:left="851"/>
        <w:jc w:val="both"/>
        <w:rPr>
          <w:rFonts w:ascii="Arial" w:eastAsia="Arial Unicode MS" w:hAnsi="Arial" w:cs="Arial"/>
          <w:color w:val="000000"/>
          <w:sz w:val="22"/>
          <w:szCs w:val="22"/>
        </w:rPr>
      </w:pPr>
    </w:p>
    <w:p w:rsidR="00DC78E9" w:rsidRPr="00F83792" w:rsidRDefault="00E56C9A" w:rsidP="00DC78E9">
      <w:pPr>
        <w:autoSpaceDE w:val="0"/>
        <w:autoSpaceDN w:val="0"/>
        <w:adjustRightInd w:val="0"/>
        <w:ind w:left="567" w:hanging="567"/>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3.2</w:t>
      </w:r>
      <w:r w:rsidRPr="00F83792">
        <w:rPr>
          <w:rFonts w:ascii="Arial" w:eastAsia="Arial Unicode MS" w:hAnsi="Arial" w:cs="Arial"/>
          <w:b/>
          <w:color w:val="000000"/>
          <w:sz w:val="32"/>
          <w:szCs w:val="22"/>
        </w:rPr>
        <w:tab/>
        <w:t xml:space="preserve"> Fund account – expense items</w:t>
      </w:r>
    </w:p>
    <w:p w:rsidR="00DC78E9" w:rsidRPr="00F83792" w:rsidRDefault="00E56C9A" w:rsidP="00DC78E9">
      <w:pPr>
        <w:autoSpaceDE w:val="0"/>
        <w:autoSpaceDN w:val="0"/>
        <w:adjustRightInd w:val="0"/>
        <w:ind w:left="567"/>
        <w:jc w:val="both"/>
        <w:rPr>
          <w:rFonts w:ascii="Arial" w:eastAsia="Arial Unicode MS" w:hAnsi="Arial" w:cs="Arial"/>
          <w:b/>
          <w:color w:val="000000"/>
          <w:szCs w:val="22"/>
        </w:rPr>
      </w:pPr>
    </w:p>
    <w:p w:rsidR="00DC78E9" w:rsidRPr="00F83792" w:rsidRDefault="00E56C9A" w:rsidP="00DC78E9">
      <w:pPr>
        <w:tabs>
          <w:tab w:val="num" w:pos="851"/>
        </w:tabs>
        <w:autoSpaceDE w:val="0"/>
        <w:autoSpaceDN w:val="0"/>
        <w:adjustRightInd w:val="0"/>
        <w:ind w:left="567" w:hanging="567"/>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 xml:space="preserve">3.2.1 </w:t>
      </w:r>
      <w:r w:rsidRPr="00F83792">
        <w:rPr>
          <w:rFonts w:ascii="Arial" w:eastAsia="Arial Unicode MS" w:hAnsi="Arial" w:cs="Arial"/>
          <w:b/>
          <w:color w:val="000000"/>
          <w:sz w:val="32"/>
          <w:szCs w:val="22"/>
        </w:rPr>
        <w:tab/>
        <w:t>Benefits payable</w:t>
      </w:r>
    </w:p>
    <w:p w:rsidR="00DC78E9" w:rsidRPr="00F83792" w:rsidRDefault="00E56C9A" w:rsidP="00DC78E9">
      <w:pPr>
        <w:tabs>
          <w:tab w:val="num" w:pos="567"/>
        </w:tabs>
        <w:autoSpaceDE w:val="0"/>
        <w:autoSpaceDN w:val="0"/>
        <w:adjustRightInd w:val="0"/>
        <w:jc w:val="both"/>
        <w:rPr>
          <w:rFonts w:ascii="Arial" w:eastAsia="Arial Unicode MS" w:hAnsi="Arial" w:cs="Arial"/>
          <w:color w:val="000000"/>
          <w:sz w:val="22"/>
          <w:szCs w:val="22"/>
        </w:rPr>
      </w:pPr>
    </w:p>
    <w:p w:rsidR="00DC78E9" w:rsidRPr="00F83792" w:rsidRDefault="00E56C9A" w:rsidP="00DC78E9">
      <w:pPr>
        <w:tabs>
          <w:tab w:val="num"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Pensions and lump sum benefits payable include all amounts known to be due as at the end of the </w:t>
      </w:r>
      <w:r w:rsidRPr="00F83792">
        <w:rPr>
          <w:rFonts w:ascii="Arial" w:eastAsia="Arial Unicode MS" w:hAnsi="Arial" w:cs="Arial"/>
          <w:color w:val="000000"/>
          <w:sz w:val="22"/>
          <w:szCs w:val="22"/>
        </w:rPr>
        <w:t>financial year.  Any amounts due but unpaid are disclosed on the net assets statement as current liabilities.</w:t>
      </w:r>
    </w:p>
    <w:p w:rsidR="00DC78E9" w:rsidRPr="00F83792" w:rsidRDefault="00E56C9A" w:rsidP="00DC78E9">
      <w:pPr>
        <w:tabs>
          <w:tab w:val="num"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num" w:pos="851"/>
        </w:tabs>
        <w:autoSpaceDE w:val="0"/>
        <w:autoSpaceDN w:val="0"/>
        <w:adjustRightInd w:val="0"/>
        <w:ind w:left="851" w:hanging="851"/>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3.2.2 Taxation</w:t>
      </w:r>
    </w:p>
    <w:p w:rsidR="00DC78E9" w:rsidRPr="00F83792" w:rsidRDefault="00E56C9A" w:rsidP="00DC78E9">
      <w:pPr>
        <w:tabs>
          <w:tab w:val="num" w:pos="567"/>
        </w:tabs>
        <w:autoSpaceDE w:val="0"/>
        <w:autoSpaceDN w:val="0"/>
        <w:adjustRightInd w:val="0"/>
        <w:ind w:left="567"/>
        <w:jc w:val="both"/>
        <w:rPr>
          <w:rFonts w:ascii="Arial" w:eastAsia="Arial Unicode MS" w:hAnsi="Arial" w:cs="Arial"/>
          <w:b/>
          <w:color w:val="000000"/>
          <w:sz w:val="22"/>
          <w:szCs w:val="22"/>
        </w:rPr>
      </w:pPr>
    </w:p>
    <w:p w:rsidR="00DC78E9" w:rsidRPr="00F83792" w:rsidRDefault="00E56C9A" w:rsidP="00DC78E9">
      <w:pPr>
        <w:tabs>
          <w:tab w:val="num"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The Fund is a registered public service scheme under section 1(1) of Schedule 36 of the Finance Act 2004 and as such is exempt fr</w:t>
      </w:r>
      <w:r w:rsidRPr="00F83792">
        <w:rPr>
          <w:rFonts w:ascii="Arial" w:eastAsia="Arial Unicode MS" w:hAnsi="Arial" w:cs="Arial"/>
          <w:color w:val="000000"/>
          <w:sz w:val="22"/>
          <w:szCs w:val="22"/>
        </w:rPr>
        <w:t xml:space="preserve">om UK income tax on interest received and from capital gains tax on the proceeds of investments sold.  Income from overseas investments suffers withholding tax in the country of origin, unless exemption is permitted.  Irrecoverable tax is accounted for as </w:t>
      </w:r>
      <w:r w:rsidRPr="00F83792">
        <w:rPr>
          <w:rFonts w:ascii="Arial" w:eastAsia="Arial Unicode MS" w:hAnsi="Arial" w:cs="Arial"/>
          <w:color w:val="000000"/>
          <w:sz w:val="22"/>
          <w:szCs w:val="22"/>
        </w:rPr>
        <w:t>a fund expense as it arises.</w:t>
      </w:r>
    </w:p>
    <w:p w:rsidR="00DC78E9" w:rsidRPr="00F83792" w:rsidRDefault="00E56C9A" w:rsidP="00DC78E9">
      <w:pPr>
        <w:tabs>
          <w:tab w:val="num"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num" w:pos="567"/>
        </w:tabs>
        <w:autoSpaceDE w:val="0"/>
        <w:autoSpaceDN w:val="0"/>
        <w:adjustRightInd w:val="0"/>
        <w:ind w:left="567" w:hanging="567"/>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3.2.3 Management expenses</w:t>
      </w:r>
    </w:p>
    <w:p w:rsidR="00DC78E9" w:rsidRPr="00F83792" w:rsidRDefault="00E56C9A" w:rsidP="00DC78E9">
      <w:pPr>
        <w:tabs>
          <w:tab w:val="num" w:pos="567"/>
        </w:tabs>
        <w:autoSpaceDE w:val="0"/>
        <w:autoSpaceDN w:val="0"/>
        <w:adjustRightInd w:val="0"/>
        <w:ind w:left="567"/>
        <w:jc w:val="both"/>
        <w:rPr>
          <w:rFonts w:ascii="Arial" w:eastAsia="Arial Unicode MS" w:hAnsi="Arial" w:cs="Arial"/>
          <w:b/>
          <w:color w:val="000000"/>
          <w:sz w:val="22"/>
          <w:szCs w:val="22"/>
        </w:rPr>
      </w:pPr>
    </w:p>
    <w:p w:rsidR="00DC78E9" w:rsidRPr="00F83792" w:rsidRDefault="00E56C9A" w:rsidP="00DC78E9">
      <w:pPr>
        <w:autoSpaceDE w:val="0"/>
        <w:autoSpaceDN w:val="0"/>
        <w:adjustRightInd w:val="0"/>
        <w:jc w:val="both"/>
        <w:rPr>
          <w:rFonts w:ascii="Arial" w:eastAsia="Arial Unicode MS" w:hAnsi="Arial" w:cs="Arial"/>
          <w:i/>
          <w:color w:val="000000"/>
          <w:sz w:val="22"/>
          <w:szCs w:val="22"/>
          <w:lang w:eastAsia="en-GB"/>
        </w:rPr>
      </w:pPr>
      <w:r w:rsidRPr="00F83792">
        <w:rPr>
          <w:rFonts w:ascii="Arial" w:eastAsia="Arial Unicode MS" w:hAnsi="Arial" w:cs="Arial"/>
          <w:color w:val="000000"/>
          <w:sz w:val="22"/>
          <w:szCs w:val="22"/>
          <w:lang w:eastAsia="en-GB"/>
        </w:rPr>
        <w:t xml:space="preserve">The code does not require any breakdown of pension fund administrative expenses.  However, in the interests of greater transparency, the Fund discloses its </w:t>
      </w:r>
      <w:r w:rsidRPr="00F83792">
        <w:rPr>
          <w:rFonts w:ascii="Arial" w:eastAsia="Arial Unicode MS" w:hAnsi="Arial" w:cs="Arial"/>
          <w:color w:val="000000"/>
          <w:sz w:val="22"/>
          <w:szCs w:val="22"/>
          <w:lang w:eastAsia="en-GB"/>
        </w:rPr>
        <w:t xml:space="preserve">pension fund </w:t>
      </w:r>
      <w:r w:rsidRPr="00F83792">
        <w:rPr>
          <w:rFonts w:ascii="Arial" w:eastAsia="Arial Unicode MS" w:hAnsi="Arial" w:cs="Arial"/>
          <w:color w:val="000000"/>
          <w:sz w:val="22"/>
          <w:szCs w:val="22"/>
          <w:lang w:eastAsia="en-GB"/>
        </w:rPr>
        <w:t xml:space="preserve">management expenses in </w:t>
      </w:r>
      <w:r w:rsidRPr="00F83792">
        <w:rPr>
          <w:rFonts w:ascii="Arial" w:eastAsia="Arial Unicode MS" w:hAnsi="Arial" w:cs="Arial"/>
          <w:color w:val="000000"/>
          <w:sz w:val="22"/>
          <w:szCs w:val="22"/>
          <w:lang w:eastAsia="en-GB"/>
        </w:rPr>
        <w:t>accordance with the CIPFA guidance "</w:t>
      </w:r>
      <w:r w:rsidRPr="00F83792">
        <w:rPr>
          <w:rFonts w:ascii="Arial" w:eastAsia="Arial Unicode MS" w:hAnsi="Arial" w:cs="Arial"/>
          <w:i/>
          <w:color w:val="000000"/>
          <w:sz w:val="22"/>
          <w:szCs w:val="22"/>
          <w:lang w:eastAsia="en-GB"/>
        </w:rPr>
        <w:t xml:space="preserve">Accounting for Local Government Pension Scheme Management </w:t>
      </w:r>
      <w:r w:rsidRPr="00F83792">
        <w:rPr>
          <w:rFonts w:ascii="Arial" w:eastAsia="Arial Unicode MS" w:hAnsi="Arial" w:cs="Arial"/>
          <w:i/>
          <w:color w:val="000000"/>
          <w:sz w:val="22"/>
          <w:szCs w:val="22"/>
          <w:lang w:eastAsia="en-GB"/>
        </w:rPr>
        <w:t>Expenses (2016)</w:t>
      </w:r>
      <w:r w:rsidRPr="00F83792">
        <w:rPr>
          <w:rFonts w:ascii="Arial" w:eastAsia="Arial Unicode MS" w:hAnsi="Arial" w:cs="Arial"/>
          <w:i/>
          <w:color w:val="000000"/>
          <w:sz w:val="22"/>
          <w:szCs w:val="22"/>
          <w:lang w:eastAsia="en-GB"/>
        </w:rPr>
        <w:t>"</w:t>
      </w:r>
      <w:r w:rsidRPr="00F83792">
        <w:rPr>
          <w:rFonts w:ascii="Arial" w:eastAsia="Arial Unicode MS" w:hAnsi="Arial" w:cs="Arial"/>
          <w:i/>
          <w:color w:val="000000"/>
          <w:sz w:val="22"/>
          <w:szCs w:val="22"/>
          <w:lang w:eastAsia="en-GB"/>
        </w:rPr>
        <w:t>.</w:t>
      </w:r>
      <w:r w:rsidRPr="00F83792">
        <w:rPr>
          <w:rFonts w:ascii="Arial" w:eastAsia="Arial Unicode MS" w:hAnsi="Arial" w:cs="Arial"/>
          <w:i/>
          <w:color w:val="000000"/>
          <w:sz w:val="22"/>
          <w:szCs w:val="22"/>
          <w:lang w:eastAsia="en-GB"/>
        </w:rPr>
        <w:t xml:space="preserve">    </w:t>
      </w:r>
    </w:p>
    <w:p w:rsidR="00DC78E9" w:rsidRPr="00F83792" w:rsidRDefault="00E56C9A" w:rsidP="00DC78E9">
      <w:pPr>
        <w:pStyle w:val="Default"/>
        <w:numPr>
          <w:ilvl w:val="0"/>
          <w:numId w:val="24"/>
        </w:numPr>
        <w:spacing w:after="120"/>
        <w:ind w:left="1281" w:hanging="357"/>
        <w:jc w:val="both"/>
        <w:rPr>
          <w:rFonts w:ascii="Arial" w:eastAsia="Arial Unicode MS" w:hAnsi="Arial" w:cs="Arial"/>
          <w:sz w:val="22"/>
        </w:rPr>
      </w:pPr>
      <w:r w:rsidRPr="00F83792">
        <w:rPr>
          <w:rFonts w:ascii="Arial" w:eastAsia="Arial Unicode MS" w:hAnsi="Arial" w:cs="Arial"/>
          <w:sz w:val="22"/>
        </w:rPr>
        <w:t xml:space="preserve">3.2.4 </w:t>
      </w:r>
      <w:r w:rsidRPr="00F83792">
        <w:rPr>
          <w:rFonts w:ascii="Arial" w:eastAsia="Arial Unicode MS" w:hAnsi="Arial" w:cs="Arial"/>
          <w:sz w:val="22"/>
        </w:rPr>
        <w:t>–</w:t>
      </w:r>
      <w:r w:rsidRPr="00F83792">
        <w:rPr>
          <w:rFonts w:ascii="Arial" w:eastAsia="Arial Unicode MS" w:hAnsi="Arial" w:cs="Arial"/>
          <w:sz w:val="22"/>
        </w:rPr>
        <w:t xml:space="preserve"> </w:t>
      </w:r>
      <w:r w:rsidRPr="00F83792">
        <w:rPr>
          <w:rFonts w:ascii="Arial" w:eastAsia="Arial Unicode MS" w:hAnsi="Arial" w:cs="Arial"/>
          <w:sz w:val="22"/>
        </w:rPr>
        <w:t>Administrative expenses</w:t>
      </w:r>
    </w:p>
    <w:p w:rsidR="00DC78E9" w:rsidRPr="00F83792" w:rsidRDefault="00E56C9A" w:rsidP="00DC78E9">
      <w:pPr>
        <w:pStyle w:val="Default"/>
        <w:numPr>
          <w:ilvl w:val="0"/>
          <w:numId w:val="24"/>
        </w:numPr>
        <w:spacing w:after="120"/>
        <w:ind w:left="1281" w:hanging="357"/>
        <w:jc w:val="both"/>
        <w:rPr>
          <w:rFonts w:ascii="Arial" w:eastAsia="Arial Unicode MS" w:hAnsi="Arial" w:cs="Arial"/>
          <w:sz w:val="22"/>
        </w:rPr>
      </w:pPr>
      <w:r w:rsidRPr="00F83792">
        <w:rPr>
          <w:rFonts w:ascii="Arial" w:eastAsia="Arial Unicode MS" w:hAnsi="Arial" w:cs="Arial"/>
          <w:sz w:val="22"/>
        </w:rPr>
        <w:t xml:space="preserve">3.2.5 </w:t>
      </w:r>
      <w:r w:rsidRPr="00F83792">
        <w:rPr>
          <w:rFonts w:ascii="Arial" w:eastAsia="Arial Unicode MS" w:hAnsi="Arial" w:cs="Arial"/>
          <w:sz w:val="22"/>
        </w:rPr>
        <w:t>–</w:t>
      </w:r>
      <w:r w:rsidRPr="00F83792">
        <w:rPr>
          <w:rFonts w:ascii="Arial" w:eastAsia="Arial Unicode MS" w:hAnsi="Arial" w:cs="Arial"/>
          <w:sz w:val="22"/>
        </w:rPr>
        <w:t xml:space="preserve"> </w:t>
      </w:r>
      <w:r w:rsidRPr="00F83792">
        <w:rPr>
          <w:rFonts w:ascii="Arial" w:eastAsia="Arial Unicode MS" w:hAnsi="Arial" w:cs="Arial"/>
          <w:sz w:val="22"/>
        </w:rPr>
        <w:t>Oversight and governance costs</w:t>
      </w:r>
    </w:p>
    <w:p w:rsidR="003F6CBD" w:rsidRPr="00F83792" w:rsidRDefault="00E56C9A" w:rsidP="003F6CBD">
      <w:pPr>
        <w:pStyle w:val="Default"/>
        <w:numPr>
          <w:ilvl w:val="0"/>
          <w:numId w:val="24"/>
        </w:numPr>
        <w:jc w:val="both"/>
        <w:rPr>
          <w:rFonts w:ascii="Arial" w:eastAsia="Arial Unicode MS" w:hAnsi="Arial" w:cs="Arial"/>
          <w:sz w:val="22"/>
        </w:rPr>
      </w:pPr>
      <w:r w:rsidRPr="00F83792">
        <w:rPr>
          <w:rFonts w:ascii="Arial" w:eastAsia="Arial Unicode MS" w:hAnsi="Arial" w:cs="Arial"/>
          <w:sz w:val="22"/>
        </w:rPr>
        <w:t xml:space="preserve">3.2.6 – </w:t>
      </w:r>
      <w:r w:rsidRPr="00F83792">
        <w:rPr>
          <w:rFonts w:ascii="Arial" w:eastAsia="Arial Unicode MS" w:hAnsi="Arial" w:cs="Arial"/>
          <w:sz w:val="22"/>
        </w:rPr>
        <w:t>Investment management expenses</w:t>
      </w:r>
    </w:p>
    <w:p w:rsidR="00DC78E9" w:rsidRPr="00F83792" w:rsidRDefault="00E56C9A" w:rsidP="00DC78E9">
      <w:pPr>
        <w:pStyle w:val="Default"/>
        <w:ind w:left="1287"/>
        <w:jc w:val="both"/>
        <w:rPr>
          <w:rFonts w:ascii="Arial" w:eastAsia="Arial Unicode MS" w:hAnsi="Arial" w:cs="Arial"/>
          <w:sz w:val="22"/>
        </w:rPr>
      </w:pPr>
    </w:p>
    <w:p w:rsidR="00DC78E9" w:rsidRPr="00F83792" w:rsidRDefault="00E56C9A" w:rsidP="00DC78E9">
      <w:pPr>
        <w:tabs>
          <w:tab w:val="num" w:pos="851"/>
        </w:tabs>
        <w:ind w:left="567" w:hanging="567"/>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lastRenderedPageBreak/>
        <w:t xml:space="preserve">3.2.4 </w:t>
      </w:r>
      <w:r w:rsidRPr="00F83792">
        <w:rPr>
          <w:rFonts w:ascii="Arial" w:eastAsia="Arial Unicode MS" w:hAnsi="Arial" w:cs="Arial"/>
          <w:b/>
          <w:color w:val="000000"/>
          <w:sz w:val="32"/>
          <w:szCs w:val="22"/>
        </w:rPr>
        <w:t>Administrative expenses</w:t>
      </w:r>
    </w:p>
    <w:p w:rsidR="00DC78E9" w:rsidRPr="00F83792" w:rsidRDefault="00E56C9A" w:rsidP="00DC78E9">
      <w:pPr>
        <w:tabs>
          <w:tab w:val="num" w:pos="851"/>
        </w:tabs>
        <w:ind w:left="567"/>
        <w:contextualSpacing/>
        <w:jc w:val="both"/>
        <w:rPr>
          <w:rFonts w:ascii="Arial" w:eastAsia="Arial Unicode MS" w:hAnsi="Arial" w:cs="Arial"/>
          <w:color w:val="000000"/>
          <w:sz w:val="22"/>
          <w:szCs w:val="22"/>
        </w:rPr>
      </w:pPr>
    </w:p>
    <w:p w:rsidR="00E64BDB" w:rsidRPr="00F83792" w:rsidRDefault="00E56C9A" w:rsidP="00E64BDB">
      <w:pPr>
        <w:jc w:val="both"/>
        <w:rPr>
          <w:rFonts w:ascii="Arial" w:eastAsia="Arial Unicode MS" w:hAnsi="Arial" w:cs="Arial"/>
          <w:sz w:val="22"/>
          <w:szCs w:val="22"/>
          <w:lang w:eastAsia="en-GB"/>
        </w:rPr>
      </w:pPr>
      <w:r w:rsidRPr="00F83792">
        <w:rPr>
          <w:rFonts w:ascii="Arial" w:eastAsia="Arial Unicode MS" w:hAnsi="Arial" w:cs="Arial"/>
          <w:sz w:val="22"/>
          <w:szCs w:val="22"/>
          <w:lang w:eastAsia="en-GB"/>
        </w:rPr>
        <w:t xml:space="preserve">Administration expenses consist of the </w:t>
      </w:r>
      <w:r w:rsidRPr="00F83792">
        <w:rPr>
          <w:rFonts w:ascii="Arial" w:eastAsia="Arial Unicode MS" w:hAnsi="Arial" w:cs="Arial"/>
          <w:sz w:val="22"/>
          <w:szCs w:val="22"/>
          <w:lang w:eastAsia="en-GB"/>
        </w:rPr>
        <w:t>following:</w:t>
      </w:r>
    </w:p>
    <w:p w:rsidR="00E64BDB" w:rsidRPr="00F83792" w:rsidRDefault="00E56C9A" w:rsidP="00E64BDB">
      <w:pPr>
        <w:ind w:left="567"/>
        <w:jc w:val="both"/>
        <w:rPr>
          <w:rFonts w:ascii="Arial" w:eastAsia="Arial Unicode MS" w:hAnsi="Arial" w:cs="Arial"/>
          <w:sz w:val="22"/>
          <w:szCs w:val="22"/>
          <w:lang w:eastAsia="en-GB"/>
        </w:rPr>
      </w:pPr>
    </w:p>
    <w:p w:rsidR="00E64BDB" w:rsidRPr="00F83792" w:rsidRDefault="00E56C9A" w:rsidP="00E64BDB">
      <w:pPr>
        <w:pStyle w:val="ListParagraph"/>
        <w:numPr>
          <w:ilvl w:val="0"/>
          <w:numId w:val="25"/>
        </w:numPr>
        <w:autoSpaceDE w:val="0"/>
        <w:autoSpaceDN w:val="0"/>
        <w:adjustRightInd w:val="0"/>
        <w:spacing w:after="120"/>
        <w:ind w:left="1276" w:hanging="284"/>
        <w:jc w:val="both"/>
        <w:rPr>
          <w:rFonts w:ascii="Arial" w:eastAsia="Arial Unicode MS" w:hAnsi="Arial" w:cs="Arial"/>
          <w:sz w:val="22"/>
          <w:szCs w:val="22"/>
          <w:lang w:eastAsia="en-GB"/>
        </w:rPr>
      </w:pPr>
      <w:r w:rsidRPr="00F83792">
        <w:rPr>
          <w:rFonts w:ascii="Arial" w:eastAsia="Arial Unicode MS" w:hAnsi="Arial" w:cs="Arial"/>
          <w:sz w:val="22"/>
          <w:szCs w:val="22"/>
          <w:lang w:eastAsia="en-GB"/>
        </w:rPr>
        <w:t>Expenses related to LGPS members and pensioners. These include all activities the pension scheme must perform to administer entitlements and provide members with scheme and benefit entitlement informatio</w:t>
      </w:r>
      <w:r w:rsidRPr="00F83792">
        <w:rPr>
          <w:rFonts w:ascii="Arial" w:eastAsia="Arial Unicode MS" w:hAnsi="Arial" w:cs="Arial"/>
          <w:sz w:val="22"/>
          <w:szCs w:val="22"/>
          <w:lang w:eastAsia="en-GB"/>
        </w:rPr>
        <w:t xml:space="preserve">n. Examples of this include pension allocations, benefit estimates, payment of benefits, processing of the transfer of assets, commutation, communications with members and pensioners, and annual benefit statements; </w:t>
      </w:r>
    </w:p>
    <w:p w:rsidR="00E64BDB" w:rsidRPr="00F83792" w:rsidRDefault="00E56C9A" w:rsidP="00E64BDB">
      <w:pPr>
        <w:pStyle w:val="ListParagraph"/>
        <w:numPr>
          <w:ilvl w:val="0"/>
          <w:numId w:val="25"/>
        </w:numPr>
        <w:autoSpaceDE w:val="0"/>
        <w:autoSpaceDN w:val="0"/>
        <w:adjustRightInd w:val="0"/>
        <w:spacing w:after="120"/>
        <w:ind w:left="1276" w:hanging="284"/>
        <w:jc w:val="both"/>
        <w:rPr>
          <w:rFonts w:ascii="Arial" w:eastAsia="Arial Unicode MS" w:hAnsi="Arial" w:cs="Arial"/>
          <w:sz w:val="22"/>
          <w:szCs w:val="22"/>
          <w:lang w:eastAsia="en-GB"/>
        </w:rPr>
      </w:pPr>
      <w:r w:rsidRPr="00F83792">
        <w:rPr>
          <w:rFonts w:ascii="Arial" w:eastAsia="Arial Unicode MS" w:hAnsi="Arial" w:cs="Arial"/>
          <w:sz w:val="22"/>
          <w:szCs w:val="22"/>
          <w:lang w:eastAsia="en-GB"/>
        </w:rPr>
        <w:t>Expenses related to interaction with sch</w:t>
      </w:r>
      <w:r w:rsidRPr="00F83792">
        <w:rPr>
          <w:rFonts w:ascii="Arial" w:eastAsia="Arial Unicode MS" w:hAnsi="Arial" w:cs="Arial"/>
          <w:sz w:val="22"/>
          <w:szCs w:val="22"/>
          <w:lang w:eastAsia="en-GB"/>
        </w:rPr>
        <w:t xml:space="preserve">eme employers e.g. data collection and verification, contributions collection and reconciliation, the employer’s help desk or other employer support, and communications with employers; and </w:t>
      </w:r>
    </w:p>
    <w:p w:rsidR="00E64BDB" w:rsidRPr="00F83792" w:rsidRDefault="00E56C9A" w:rsidP="00E64BDB">
      <w:pPr>
        <w:pStyle w:val="ListParagraph"/>
        <w:numPr>
          <w:ilvl w:val="0"/>
          <w:numId w:val="25"/>
        </w:numPr>
        <w:autoSpaceDE w:val="0"/>
        <w:autoSpaceDN w:val="0"/>
        <w:adjustRightInd w:val="0"/>
        <w:ind w:left="1276" w:hanging="283"/>
        <w:contextualSpacing/>
        <w:jc w:val="both"/>
        <w:rPr>
          <w:rFonts w:ascii="Arial" w:eastAsia="Arial Unicode MS" w:hAnsi="Arial" w:cs="Arial"/>
          <w:sz w:val="22"/>
          <w:szCs w:val="22"/>
          <w:lang w:eastAsia="en-GB"/>
        </w:rPr>
      </w:pPr>
      <w:r w:rsidRPr="00F83792">
        <w:rPr>
          <w:rFonts w:ascii="Arial" w:eastAsia="Arial Unicode MS" w:hAnsi="Arial" w:cs="Arial"/>
          <w:sz w:val="22"/>
          <w:szCs w:val="22"/>
          <w:lang w:eastAsia="en-GB"/>
        </w:rPr>
        <w:t xml:space="preserve">Associated project expenses. </w:t>
      </w:r>
    </w:p>
    <w:p w:rsidR="00E64BDB" w:rsidRPr="00F83792" w:rsidRDefault="00E56C9A" w:rsidP="00E64BDB">
      <w:pPr>
        <w:pStyle w:val="ListParagraph"/>
        <w:ind w:left="993"/>
        <w:jc w:val="both"/>
        <w:rPr>
          <w:rFonts w:ascii="Arial" w:eastAsia="Arial Unicode MS" w:hAnsi="Arial" w:cs="Arial"/>
          <w:sz w:val="22"/>
          <w:szCs w:val="22"/>
          <w:lang w:eastAsia="en-GB"/>
        </w:rPr>
      </w:pPr>
    </w:p>
    <w:p w:rsidR="00E64BDB" w:rsidRPr="00F83792" w:rsidRDefault="00E56C9A" w:rsidP="00E64BDB">
      <w:pPr>
        <w:jc w:val="both"/>
        <w:rPr>
          <w:rFonts w:ascii="Arial" w:eastAsia="Arial Unicode MS" w:hAnsi="Arial" w:cs="Arial"/>
          <w:sz w:val="22"/>
          <w:szCs w:val="22"/>
          <w:lang w:eastAsia="en-GB"/>
        </w:rPr>
      </w:pPr>
      <w:r w:rsidRPr="00F83792">
        <w:rPr>
          <w:rFonts w:ascii="Arial" w:eastAsia="Arial Unicode MS" w:hAnsi="Arial" w:cs="Arial"/>
          <w:sz w:val="22"/>
          <w:szCs w:val="22"/>
          <w:lang w:eastAsia="en-GB"/>
        </w:rPr>
        <w:t>All administrative expenses are acc</w:t>
      </w:r>
      <w:r w:rsidRPr="00F83792">
        <w:rPr>
          <w:rFonts w:ascii="Arial" w:eastAsia="Arial Unicode MS" w:hAnsi="Arial" w:cs="Arial"/>
          <w:sz w:val="22"/>
          <w:szCs w:val="22"/>
          <w:lang w:eastAsia="en-GB"/>
        </w:rPr>
        <w:t xml:space="preserve">ounted for on an accruals basis. </w:t>
      </w:r>
    </w:p>
    <w:p w:rsidR="00E64BDB" w:rsidRPr="00F83792" w:rsidRDefault="00E56C9A" w:rsidP="00105290">
      <w:pPr>
        <w:autoSpaceDE w:val="0"/>
        <w:autoSpaceDN w:val="0"/>
        <w:adjustRightInd w:val="0"/>
        <w:jc w:val="both"/>
        <w:rPr>
          <w:rFonts w:ascii="Arial" w:eastAsia="Arial Unicode MS" w:hAnsi="Arial" w:cs="Arial"/>
          <w:sz w:val="22"/>
        </w:rPr>
      </w:pPr>
    </w:p>
    <w:p w:rsidR="00DC78E9" w:rsidRPr="00F83792" w:rsidRDefault="00E56C9A" w:rsidP="00DC78E9">
      <w:pPr>
        <w:tabs>
          <w:tab w:val="num"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num" w:pos="851"/>
        </w:tabs>
        <w:ind w:left="1287" w:hanging="1287"/>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 xml:space="preserve">3.2.5 </w:t>
      </w:r>
      <w:r w:rsidRPr="00F83792">
        <w:rPr>
          <w:rFonts w:ascii="Arial" w:eastAsia="Arial Unicode MS" w:hAnsi="Arial" w:cs="Arial"/>
          <w:b/>
          <w:color w:val="000000"/>
          <w:sz w:val="32"/>
          <w:szCs w:val="22"/>
        </w:rPr>
        <w:t xml:space="preserve">Oversight and </w:t>
      </w:r>
      <w:r>
        <w:rPr>
          <w:rFonts w:ascii="Arial" w:eastAsia="Arial Unicode MS" w:hAnsi="Arial" w:cs="Arial"/>
          <w:b/>
          <w:color w:val="000000"/>
          <w:sz w:val="32"/>
          <w:szCs w:val="22"/>
        </w:rPr>
        <w:t>g</w:t>
      </w:r>
      <w:r w:rsidRPr="00F83792">
        <w:rPr>
          <w:rFonts w:ascii="Arial" w:eastAsia="Arial Unicode MS" w:hAnsi="Arial" w:cs="Arial"/>
          <w:b/>
          <w:color w:val="000000"/>
          <w:sz w:val="32"/>
          <w:szCs w:val="22"/>
        </w:rPr>
        <w:t xml:space="preserve">overnance </w:t>
      </w:r>
      <w:r w:rsidRPr="00F83792">
        <w:rPr>
          <w:rFonts w:ascii="Arial" w:eastAsia="Arial Unicode MS" w:hAnsi="Arial" w:cs="Arial"/>
          <w:b/>
          <w:color w:val="000000"/>
          <w:sz w:val="32"/>
          <w:szCs w:val="22"/>
        </w:rPr>
        <w:t>costs</w:t>
      </w:r>
    </w:p>
    <w:p w:rsidR="00E64BDB" w:rsidRPr="00F83792" w:rsidRDefault="00E56C9A" w:rsidP="00DC78E9">
      <w:pPr>
        <w:tabs>
          <w:tab w:val="num" w:pos="851"/>
        </w:tabs>
        <w:ind w:left="1287" w:hanging="1287"/>
        <w:contextualSpacing/>
        <w:jc w:val="both"/>
        <w:rPr>
          <w:rFonts w:ascii="Arial" w:eastAsia="Arial Unicode MS" w:hAnsi="Arial" w:cs="Arial"/>
          <w:b/>
          <w:color w:val="000000"/>
          <w:sz w:val="32"/>
          <w:szCs w:val="22"/>
        </w:rPr>
      </w:pPr>
    </w:p>
    <w:p w:rsidR="00E64BDB" w:rsidRPr="00F83792" w:rsidRDefault="00E56C9A" w:rsidP="00E64BDB">
      <w:pPr>
        <w:spacing w:after="152"/>
        <w:jc w:val="both"/>
        <w:rPr>
          <w:rFonts w:ascii="Arial" w:eastAsia="Arial Unicode MS" w:hAnsi="Arial" w:cs="Arial"/>
          <w:sz w:val="22"/>
          <w:lang w:eastAsia="en-GB"/>
        </w:rPr>
      </w:pPr>
      <w:r w:rsidRPr="00F83792">
        <w:rPr>
          <w:rFonts w:ascii="Arial" w:eastAsia="Arial Unicode MS" w:hAnsi="Arial" w:cs="Arial"/>
          <w:sz w:val="22"/>
          <w:lang w:eastAsia="en-GB"/>
        </w:rPr>
        <w:t xml:space="preserve">Oversight and governance expenses include the following costs: </w:t>
      </w:r>
    </w:p>
    <w:p w:rsidR="00E64BDB" w:rsidRPr="00F83792" w:rsidRDefault="00E56C9A" w:rsidP="00E64BDB">
      <w:pPr>
        <w:pStyle w:val="ListParagraph"/>
        <w:numPr>
          <w:ilvl w:val="0"/>
          <w:numId w:val="25"/>
        </w:numPr>
        <w:autoSpaceDE w:val="0"/>
        <w:autoSpaceDN w:val="0"/>
        <w:adjustRightInd w:val="0"/>
        <w:spacing w:after="120"/>
        <w:ind w:left="1276" w:hanging="284"/>
        <w:jc w:val="both"/>
        <w:rPr>
          <w:rFonts w:ascii="Arial" w:eastAsia="Arial Unicode MS" w:hAnsi="Arial" w:cs="Arial"/>
          <w:sz w:val="22"/>
          <w:lang w:eastAsia="en-GB"/>
        </w:rPr>
      </w:pPr>
      <w:r w:rsidRPr="00F83792">
        <w:rPr>
          <w:rFonts w:ascii="Arial" w:eastAsia="Arial Unicode MS" w:hAnsi="Arial" w:cs="Arial"/>
          <w:sz w:val="22"/>
          <w:lang w:eastAsia="en-GB"/>
        </w:rPr>
        <w:t xml:space="preserve">Investment advisory services (strategic allocation, manager </w:t>
      </w:r>
      <w:r>
        <w:rPr>
          <w:rFonts w:ascii="Arial" w:eastAsia="Arial Unicode MS" w:hAnsi="Arial" w:cs="Arial"/>
          <w:sz w:val="22"/>
          <w:lang w:eastAsia="en-GB"/>
        </w:rPr>
        <w:t>monitoring</w:t>
      </w:r>
      <w:r w:rsidRPr="00F83792">
        <w:rPr>
          <w:rFonts w:ascii="Arial" w:eastAsia="Arial Unicode MS" w:hAnsi="Arial" w:cs="Arial"/>
          <w:sz w:val="22"/>
          <w:lang w:eastAsia="en-GB"/>
        </w:rPr>
        <w:t xml:space="preserve"> etc.); </w:t>
      </w:r>
    </w:p>
    <w:p w:rsidR="00E64BDB" w:rsidRPr="00F83792" w:rsidRDefault="00E56C9A" w:rsidP="00E64BDB">
      <w:pPr>
        <w:pStyle w:val="ListParagraph"/>
        <w:numPr>
          <w:ilvl w:val="0"/>
          <w:numId w:val="25"/>
        </w:numPr>
        <w:autoSpaceDE w:val="0"/>
        <w:autoSpaceDN w:val="0"/>
        <w:adjustRightInd w:val="0"/>
        <w:spacing w:after="120"/>
        <w:ind w:left="1276" w:hanging="284"/>
        <w:jc w:val="both"/>
        <w:rPr>
          <w:rFonts w:ascii="Arial" w:eastAsia="Arial Unicode MS" w:hAnsi="Arial" w:cs="Arial"/>
          <w:sz w:val="22"/>
          <w:lang w:eastAsia="en-GB"/>
        </w:rPr>
      </w:pPr>
      <w:r w:rsidRPr="00F83792">
        <w:rPr>
          <w:rFonts w:ascii="Arial" w:eastAsia="Arial Unicode MS" w:hAnsi="Arial" w:cs="Arial"/>
          <w:sz w:val="22"/>
          <w:lang w:eastAsia="en-GB"/>
        </w:rPr>
        <w:t xml:space="preserve">Independent advisors to the pension fund; </w:t>
      </w:r>
    </w:p>
    <w:p w:rsidR="00E64BDB" w:rsidRPr="00F83792" w:rsidRDefault="00E56C9A" w:rsidP="00E64BDB">
      <w:pPr>
        <w:pStyle w:val="ListParagraph"/>
        <w:numPr>
          <w:ilvl w:val="0"/>
          <w:numId w:val="25"/>
        </w:numPr>
        <w:autoSpaceDE w:val="0"/>
        <w:autoSpaceDN w:val="0"/>
        <w:adjustRightInd w:val="0"/>
        <w:spacing w:after="120"/>
        <w:ind w:left="1276" w:hanging="284"/>
        <w:jc w:val="both"/>
        <w:rPr>
          <w:rFonts w:ascii="Arial" w:eastAsia="Arial Unicode MS" w:hAnsi="Arial" w:cs="Arial"/>
          <w:sz w:val="22"/>
          <w:lang w:eastAsia="en-GB"/>
        </w:rPr>
      </w:pPr>
      <w:r w:rsidRPr="00F83792">
        <w:rPr>
          <w:rFonts w:ascii="Arial" w:eastAsia="Arial Unicode MS" w:hAnsi="Arial" w:cs="Arial"/>
          <w:sz w:val="22"/>
          <w:lang w:eastAsia="en-GB"/>
        </w:rPr>
        <w:t xml:space="preserve">Operation and support of the pensions committee (i.e. those charged with governance of the pension fund), local pensions board, or any other oversight body; </w:t>
      </w:r>
    </w:p>
    <w:p w:rsidR="00E64BDB" w:rsidRPr="00F83792" w:rsidRDefault="00E56C9A" w:rsidP="00E64BDB">
      <w:pPr>
        <w:pStyle w:val="ListParagraph"/>
        <w:numPr>
          <w:ilvl w:val="0"/>
          <w:numId w:val="25"/>
        </w:numPr>
        <w:autoSpaceDE w:val="0"/>
        <w:autoSpaceDN w:val="0"/>
        <w:adjustRightInd w:val="0"/>
        <w:spacing w:after="120"/>
        <w:ind w:left="1276" w:hanging="284"/>
        <w:jc w:val="both"/>
        <w:rPr>
          <w:rFonts w:ascii="Arial" w:eastAsia="Arial Unicode MS" w:hAnsi="Arial" w:cs="Arial"/>
          <w:sz w:val="22"/>
          <w:lang w:eastAsia="en-GB"/>
        </w:rPr>
      </w:pPr>
      <w:r w:rsidRPr="00F83792">
        <w:rPr>
          <w:rFonts w:ascii="Arial" w:eastAsia="Arial Unicode MS" w:hAnsi="Arial" w:cs="Arial"/>
          <w:sz w:val="22"/>
          <w:lang w:eastAsia="en-GB"/>
        </w:rPr>
        <w:t xml:space="preserve">Governance and voting services; </w:t>
      </w:r>
    </w:p>
    <w:p w:rsidR="00E64BDB" w:rsidRPr="00F83792" w:rsidRDefault="00E56C9A" w:rsidP="00E64BDB">
      <w:pPr>
        <w:pStyle w:val="ListParagraph"/>
        <w:numPr>
          <w:ilvl w:val="0"/>
          <w:numId w:val="25"/>
        </w:numPr>
        <w:autoSpaceDE w:val="0"/>
        <w:autoSpaceDN w:val="0"/>
        <w:adjustRightInd w:val="0"/>
        <w:spacing w:after="120"/>
        <w:ind w:left="1276" w:hanging="284"/>
        <w:jc w:val="both"/>
        <w:rPr>
          <w:rFonts w:ascii="Arial" w:eastAsia="Arial Unicode MS" w:hAnsi="Arial" w:cs="Arial"/>
          <w:sz w:val="22"/>
          <w:lang w:eastAsia="en-GB"/>
        </w:rPr>
      </w:pPr>
      <w:r w:rsidRPr="00F83792">
        <w:rPr>
          <w:rFonts w:ascii="Arial" w:eastAsia="Arial Unicode MS" w:hAnsi="Arial" w:cs="Arial"/>
          <w:sz w:val="22"/>
          <w:lang w:eastAsia="en-GB"/>
        </w:rPr>
        <w:t>Costs of compliance wi</w:t>
      </w:r>
      <w:r w:rsidRPr="00F83792">
        <w:rPr>
          <w:rFonts w:ascii="Arial" w:eastAsia="Arial Unicode MS" w:hAnsi="Arial" w:cs="Arial"/>
          <w:sz w:val="22"/>
          <w:lang w:eastAsia="en-GB"/>
        </w:rPr>
        <w:t xml:space="preserve">th statutory or non-statutory internal or external reporting (annual reports and accounts, etc.); </w:t>
      </w:r>
    </w:p>
    <w:p w:rsidR="00E64BDB" w:rsidRPr="00F83792" w:rsidRDefault="00E56C9A" w:rsidP="00E64BDB">
      <w:pPr>
        <w:pStyle w:val="ListParagraph"/>
        <w:numPr>
          <w:ilvl w:val="0"/>
          <w:numId w:val="25"/>
        </w:numPr>
        <w:autoSpaceDE w:val="0"/>
        <w:autoSpaceDN w:val="0"/>
        <w:adjustRightInd w:val="0"/>
        <w:spacing w:after="120"/>
        <w:ind w:left="1276" w:hanging="284"/>
        <w:jc w:val="both"/>
        <w:rPr>
          <w:rFonts w:ascii="Arial" w:eastAsia="Arial Unicode MS" w:hAnsi="Arial" w:cs="Arial"/>
          <w:sz w:val="22"/>
          <w:lang w:eastAsia="en-GB"/>
        </w:rPr>
      </w:pPr>
      <w:r w:rsidRPr="00F83792">
        <w:rPr>
          <w:rFonts w:ascii="Arial" w:eastAsia="Arial Unicode MS" w:hAnsi="Arial" w:cs="Arial"/>
          <w:sz w:val="22"/>
          <w:lang w:eastAsia="en-GB"/>
        </w:rPr>
        <w:t xml:space="preserve">Legal, actuarial and tax advisory services; </w:t>
      </w:r>
    </w:p>
    <w:p w:rsidR="00E64BDB" w:rsidRPr="00F83792" w:rsidRDefault="00E56C9A" w:rsidP="00E64BDB">
      <w:pPr>
        <w:pStyle w:val="ListParagraph"/>
        <w:numPr>
          <w:ilvl w:val="0"/>
          <w:numId w:val="25"/>
        </w:numPr>
        <w:autoSpaceDE w:val="0"/>
        <w:autoSpaceDN w:val="0"/>
        <w:adjustRightInd w:val="0"/>
        <w:spacing w:after="120"/>
        <w:ind w:left="1276" w:hanging="284"/>
        <w:jc w:val="both"/>
        <w:rPr>
          <w:rFonts w:ascii="Arial" w:eastAsia="Arial Unicode MS" w:hAnsi="Arial" w:cs="Arial"/>
          <w:sz w:val="22"/>
          <w:lang w:eastAsia="en-GB"/>
        </w:rPr>
      </w:pPr>
      <w:r w:rsidRPr="00F83792">
        <w:rPr>
          <w:rFonts w:ascii="Arial" w:eastAsia="Arial Unicode MS" w:hAnsi="Arial" w:cs="Arial"/>
          <w:sz w:val="22"/>
          <w:lang w:eastAsia="en-GB"/>
        </w:rPr>
        <w:t xml:space="preserve">Non-custodian accountancy and banking services; and </w:t>
      </w:r>
    </w:p>
    <w:p w:rsidR="00E64BDB" w:rsidRPr="00F83792" w:rsidRDefault="00E56C9A" w:rsidP="00E64BDB">
      <w:pPr>
        <w:pStyle w:val="ListParagraph"/>
        <w:numPr>
          <w:ilvl w:val="0"/>
          <w:numId w:val="25"/>
        </w:numPr>
        <w:autoSpaceDE w:val="0"/>
        <w:autoSpaceDN w:val="0"/>
        <w:adjustRightInd w:val="0"/>
        <w:ind w:left="1276" w:hanging="284"/>
        <w:contextualSpacing/>
        <w:jc w:val="both"/>
        <w:rPr>
          <w:rFonts w:ascii="Arial" w:eastAsia="Arial Unicode MS" w:hAnsi="Arial" w:cs="Arial"/>
          <w:sz w:val="22"/>
          <w:lang w:eastAsia="en-GB"/>
        </w:rPr>
      </w:pPr>
      <w:r w:rsidRPr="00F83792">
        <w:rPr>
          <w:rFonts w:ascii="Arial" w:eastAsia="Arial Unicode MS" w:hAnsi="Arial" w:cs="Arial"/>
          <w:sz w:val="22"/>
          <w:lang w:eastAsia="en-GB"/>
        </w:rPr>
        <w:t xml:space="preserve">Internal and external audit. </w:t>
      </w:r>
    </w:p>
    <w:p w:rsidR="00E64BDB" w:rsidRPr="00F83792" w:rsidRDefault="00E56C9A" w:rsidP="00E64BDB">
      <w:pPr>
        <w:pStyle w:val="ListParagraph"/>
        <w:tabs>
          <w:tab w:val="num" w:pos="851"/>
        </w:tabs>
        <w:ind w:left="1287" w:hanging="720"/>
        <w:jc w:val="both"/>
        <w:rPr>
          <w:rFonts w:ascii="Arial" w:eastAsia="Arial Unicode MS" w:hAnsi="Arial" w:cs="Arial"/>
          <w:sz w:val="22"/>
          <w:lang w:eastAsia="en-GB"/>
        </w:rPr>
      </w:pPr>
    </w:p>
    <w:p w:rsidR="00E64BDB" w:rsidRPr="00F83792" w:rsidRDefault="00E56C9A" w:rsidP="00E64BDB">
      <w:pPr>
        <w:tabs>
          <w:tab w:val="num" w:pos="567"/>
        </w:tabs>
        <w:jc w:val="both"/>
        <w:rPr>
          <w:rFonts w:ascii="Arial" w:eastAsia="Arial Unicode MS" w:hAnsi="Arial" w:cs="Arial"/>
          <w:sz w:val="22"/>
        </w:rPr>
      </w:pPr>
      <w:r w:rsidRPr="00F83792">
        <w:rPr>
          <w:rFonts w:ascii="Arial" w:eastAsia="Arial Unicode MS" w:hAnsi="Arial" w:cs="Arial"/>
          <w:sz w:val="22"/>
        </w:rPr>
        <w:t>All oversight and governance</w:t>
      </w:r>
      <w:r w:rsidRPr="00F83792">
        <w:rPr>
          <w:rFonts w:ascii="Arial" w:eastAsia="Arial Unicode MS" w:hAnsi="Arial" w:cs="Arial"/>
          <w:sz w:val="22"/>
        </w:rPr>
        <w:t xml:space="preserve"> expenses are accounted for on an accruals basis.  All staff costs associated with governance and oversight are charged direct to the Fund.  Associated management, accommodation and other overheads are apportioned to this activity and charged as expenses t</w:t>
      </w:r>
      <w:r w:rsidRPr="00F83792">
        <w:rPr>
          <w:rFonts w:ascii="Arial" w:eastAsia="Arial Unicode MS" w:hAnsi="Arial" w:cs="Arial"/>
          <w:sz w:val="22"/>
        </w:rPr>
        <w:t>o the Fund.</w:t>
      </w:r>
    </w:p>
    <w:p w:rsidR="00E64BDB" w:rsidRPr="00F83792" w:rsidRDefault="00E56C9A" w:rsidP="00DC78E9">
      <w:pPr>
        <w:tabs>
          <w:tab w:val="num" w:pos="851"/>
        </w:tabs>
        <w:ind w:left="1287" w:hanging="1287"/>
        <w:contextualSpacing/>
        <w:jc w:val="both"/>
        <w:rPr>
          <w:rFonts w:ascii="Arial" w:eastAsia="Arial Unicode MS" w:hAnsi="Arial" w:cs="Arial"/>
          <w:b/>
          <w:color w:val="000000"/>
          <w:sz w:val="32"/>
          <w:szCs w:val="22"/>
        </w:rPr>
      </w:pPr>
    </w:p>
    <w:p w:rsidR="00105290" w:rsidRPr="00F83792" w:rsidRDefault="00E56C9A" w:rsidP="00DC78E9">
      <w:pPr>
        <w:tabs>
          <w:tab w:val="num" w:pos="851"/>
        </w:tabs>
        <w:ind w:left="1287" w:hanging="1287"/>
        <w:contextualSpacing/>
        <w:jc w:val="both"/>
        <w:rPr>
          <w:rFonts w:ascii="Arial" w:eastAsia="Arial Unicode MS" w:hAnsi="Arial" w:cs="Arial"/>
          <w:b/>
          <w:color w:val="000000"/>
          <w:sz w:val="32"/>
          <w:szCs w:val="22"/>
        </w:rPr>
      </w:pPr>
    </w:p>
    <w:p w:rsidR="00DC78E9" w:rsidRPr="00F83792" w:rsidRDefault="00E56C9A" w:rsidP="00DC78E9">
      <w:pPr>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3.2.6 Investment</w:t>
      </w:r>
      <w:r w:rsidRPr="00F83792">
        <w:rPr>
          <w:rFonts w:ascii="Arial" w:eastAsia="Arial Unicode MS" w:hAnsi="Arial" w:cs="Arial"/>
          <w:b/>
          <w:color w:val="000000"/>
          <w:sz w:val="32"/>
          <w:szCs w:val="22"/>
        </w:rPr>
        <w:t xml:space="preserve"> management expenses</w:t>
      </w:r>
    </w:p>
    <w:p w:rsidR="00E64BDB" w:rsidRPr="00F83792" w:rsidRDefault="00E56C9A" w:rsidP="00DC78E9">
      <w:pPr>
        <w:jc w:val="both"/>
        <w:rPr>
          <w:rFonts w:ascii="Arial" w:eastAsia="Arial Unicode MS" w:hAnsi="Arial" w:cs="Arial"/>
          <w:b/>
          <w:color w:val="000000"/>
          <w:sz w:val="32"/>
          <w:szCs w:val="22"/>
        </w:rPr>
      </w:pPr>
    </w:p>
    <w:p w:rsidR="00E64BDB" w:rsidRPr="00F83792" w:rsidRDefault="00E56C9A" w:rsidP="00E64BDB">
      <w:pPr>
        <w:autoSpaceDE w:val="0"/>
        <w:autoSpaceDN w:val="0"/>
        <w:adjustRightInd w:val="0"/>
        <w:jc w:val="both"/>
        <w:rPr>
          <w:rFonts w:ascii="Arial" w:eastAsia="Arial Unicode MS" w:hAnsi="Arial" w:cs="Arial"/>
          <w:sz w:val="22"/>
        </w:rPr>
      </w:pPr>
      <w:r w:rsidRPr="00F83792">
        <w:rPr>
          <w:rFonts w:ascii="Arial" w:eastAsia="Arial Unicode MS" w:hAnsi="Arial" w:cs="Arial"/>
          <w:sz w:val="22"/>
        </w:rPr>
        <w:t xml:space="preserve">Investment management expenses are defined as any </w:t>
      </w:r>
      <w:r w:rsidRPr="00F83792">
        <w:rPr>
          <w:rFonts w:ascii="Arial" w:eastAsia="Arial Unicode MS" w:hAnsi="Arial" w:cs="Arial"/>
          <w:color w:val="000000"/>
          <w:sz w:val="22"/>
        </w:rPr>
        <w:t xml:space="preserve">expenses incurred in relation to the management of pension fund assets and financial instruments entered into in relation to the management of fund </w:t>
      </w:r>
      <w:r w:rsidRPr="00F83792">
        <w:rPr>
          <w:rFonts w:ascii="Arial" w:eastAsia="Arial Unicode MS" w:hAnsi="Arial" w:cs="Arial"/>
          <w:color w:val="000000"/>
          <w:sz w:val="22"/>
        </w:rPr>
        <w:t xml:space="preserve">assets. This includes expenses directly invoiced by investment managers and any fees payable to fund managers which are deducted from fund assets.   Transaction costs for all categories of investment, other than directly held property, are included within </w:t>
      </w:r>
      <w:r w:rsidRPr="00F83792">
        <w:rPr>
          <w:rFonts w:ascii="Arial" w:eastAsia="Arial Unicode MS" w:hAnsi="Arial" w:cs="Arial"/>
          <w:color w:val="000000"/>
          <w:sz w:val="22"/>
        </w:rPr>
        <w:t>investment management expenses.</w:t>
      </w:r>
    </w:p>
    <w:p w:rsidR="00E64BDB" w:rsidRPr="00F83792" w:rsidRDefault="00E56C9A" w:rsidP="00E64BDB">
      <w:pPr>
        <w:ind w:firstLine="567"/>
        <w:jc w:val="both"/>
        <w:rPr>
          <w:rFonts w:ascii="Arial" w:eastAsia="Arial Unicode MS" w:hAnsi="Arial" w:cs="Arial"/>
          <w:sz w:val="22"/>
        </w:rPr>
      </w:pPr>
    </w:p>
    <w:p w:rsidR="00E64BDB" w:rsidRPr="00F83792" w:rsidRDefault="00E56C9A" w:rsidP="00E64BDB">
      <w:pPr>
        <w:tabs>
          <w:tab w:val="num" w:pos="567"/>
        </w:tabs>
        <w:jc w:val="both"/>
        <w:rPr>
          <w:rFonts w:ascii="Arial" w:eastAsia="Arial Unicode MS" w:hAnsi="Arial" w:cs="Arial"/>
          <w:sz w:val="22"/>
        </w:rPr>
      </w:pPr>
      <w:r w:rsidRPr="00F83792">
        <w:rPr>
          <w:rFonts w:ascii="Arial" w:eastAsia="Arial Unicode MS" w:hAnsi="Arial" w:cs="Arial"/>
          <w:sz w:val="22"/>
        </w:rPr>
        <w:t>All investment management expenses are accounted for on an accruals basis.</w:t>
      </w:r>
    </w:p>
    <w:p w:rsidR="00E64BDB" w:rsidRPr="00F83792" w:rsidRDefault="00E56C9A" w:rsidP="00E64BDB">
      <w:pPr>
        <w:tabs>
          <w:tab w:val="num" w:pos="993"/>
        </w:tabs>
        <w:jc w:val="both"/>
        <w:rPr>
          <w:rFonts w:ascii="Arial" w:eastAsia="Arial Unicode MS" w:hAnsi="Arial" w:cs="Arial"/>
          <w:sz w:val="22"/>
        </w:rPr>
      </w:pPr>
    </w:p>
    <w:p w:rsidR="00E64BDB" w:rsidRPr="00F83792" w:rsidRDefault="00E56C9A" w:rsidP="00E64BDB">
      <w:pPr>
        <w:tabs>
          <w:tab w:val="num" w:pos="993"/>
        </w:tabs>
        <w:jc w:val="both"/>
        <w:rPr>
          <w:rFonts w:ascii="Arial" w:eastAsia="Arial Unicode MS" w:hAnsi="Arial" w:cs="Arial"/>
          <w:sz w:val="22"/>
        </w:rPr>
      </w:pPr>
      <w:r w:rsidRPr="00F83792">
        <w:rPr>
          <w:rFonts w:ascii="Arial" w:eastAsia="Arial Unicode MS" w:hAnsi="Arial" w:cs="Arial"/>
          <w:sz w:val="22"/>
        </w:rPr>
        <w:t>Fees of t</w:t>
      </w:r>
      <w:r>
        <w:rPr>
          <w:rFonts w:ascii="Arial" w:eastAsia="Arial Unicode MS" w:hAnsi="Arial" w:cs="Arial"/>
          <w:sz w:val="22"/>
        </w:rPr>
        <w:t xml:space="preserve">he external investment managers, Local Pensions Partnership </w:t>
      </w:r>
      <w:r w:rsidRPr="00F83792">
        <w:rPr>
          <w:rFonts w:ascii="Arial" w:eastAsia="Arial Unicode MS" w:hAnsi="Arial" w:cs="Arial"/>
          <w:sz w:val="22"/>
        </w:rPr>
        <w:t>and custodian are agreed in the respective mandates governing their appointmen</w:t>
      </w:r>
      <w:r w:rsidRPr="00F83792">
        <w:rPr>
          <w:rFonts w:ascii="Arial" w:eastAsia="Arial Unicode MS" w:hAnsi="Arial" w:cs="Arial"/>
          <w:sz w:val="22"/>
        </w:rPr>
        <w:t xml:space="preserve">ts.  Broadly, these are based on the market value of </w:t>
      </w:r>
      <w:r w:rsidRPr="00F83792">
        <w:rPr>
          <w:rFonts w:ascii="Arial" w:eastAsia="Arial Unicode MS" w:hAnsi="Arial" w:cs="Arial"/>
          <w:sz w:val="22"/>
        </w:rPr>
        <w:lastRenderedPageBreak/>
        <w:t>investments under their management and therefore increase or reduce as the value of these investments change.</w:t>
      </w:r>
    </w:p>
    <w:p w:rsidR="00E64BDB" w:rsidRPr="00F83792" w:rsidRDefault="00E56C9A" w:rsidP="00E64BDB">
      <w:pPr>
        <w:tabs>
          <w:tab w:val="num" w:pos="851"/>
        </w:tabs>
        <w:jc w:val="both"/>
        <w:rPr>
          <w:rFonts w:ascii="Arial" w:eastAsia="Arial Unicode MS" w:hAnsi="Arial" w:cs="Arial"/>
          <w:sz w:val="22"/>
        </w:rPr>
      </w:pPr>
    </w:p>
    <w:p w:rsidR="00E64BDB" w:rsidRPr="00F83792" w:rsidRDefault="00E56C9A" w:rsidP="00E64BDB">
      <w:pPr>
        <w:tabs>
          <w:tab w:val="num" w:pos="851"/>
        </w:tabs>
        <w:jc w:val="both"/>
        <w:rPr>
          <w:rFonts w:ascii="Arial" w:eastAsia="Arial Unicode MS" w:hAnsi="Arial" w:cs="Arial"/>
          <w:sz w:val="22"/>
        </w:rPr>
      </w:pPr>
      <w:r w:rsidRPr="00F83792">
        <w:rPr>
          <w:rFonts w:ascii="Arial" w:eastAsia="Arial Unicode MS" w:hAnsi="Arial" w:cs="Arial"/>
          <w:sz w:val="22"/>
        </w:rPr>
        <w:t>The fund has negotiated with a number of managers that an element of their fee be performanc</w:t>
      </w:r>
      <w:r w:rsidRPr="00F83792">
        <w:rPr>
          <w:rFonts w:ascii="Arial" w:eastAsia="Arial Unicode MS" w:hAnsi="Arial" w:cs="Arial"/>
          <w:sz w:val="22"/>
        </w:rPr>
        <w:t>e related.</w:t>
      </w:r>
    </w:p>
    <w:p w:rsidR="00E64BDB" w:rsidRPr="00F83792" w:rsidRDefault="00E56C9A" w:rsidP="00E64BDB">
      <w:pPr>
        <w:tabs>
          <w:tab w:val="num" w:pos="567"/>
        </w:tabs>
        <w:jc w:val="both"/>
        <w:rPr>
          <w:rFonts w:ascii="Arial" w:eastAsia="Arial Unicode MS" w:hAnsi="Arial" w:cs="Arial"/>
          <w:sz w:val="22"/>
        </w:rPr>
      </w:pPr>
    </w:p>
    <w:p w:rsidR="00E64BDB" w:rsidRPr="00F83792" w:rsidRDefault="00E56C9A" w:rsidP="00E64BDB">
      <w:pPr>
        <w:tabs>
          <w:tab w:val="num" w:pos="567"/>
        </w:tabs>
        <w:jc w:val="both"/>
        <w:rPr>
          <w:rFonts w:ascii="Arial" w:eastAsia="Arial Unicode MS" w:hAnsi="Arial" w:cs="Arial"/>
          <w:sz w:val="22"/>
        </w:rPr>
      </w:pPr>
      <w:r w:rsidRPr="00F83792">
        <w:rPr>
          <w:rFonts w:ascii="Arial" w:eastAsia="Arial Unicode MS" w:hAnsi="Arial" w:cs="Arial"/>
          <w:sz w:val="22"/>
        </w:rPr>
        <w:t xml:space="preserve">Where an investment manager's fee note has not been received by the net assets statement date, an estimate based upon the market value of their mandate as at the end of the year is used for the inclusion in the fund account.  In 2016/17, </w:t>
      </w:r>
      <w:r w:rsidRPr="00F83792">
        <w:rPr>
          <w:rFonts w:ascii="Arial" w:eastAsia="Arial Unicode MS" w:hAnsi="Arial" w:cs="Arial"/>
          <w:sz w:val="22"/>
        </w:rPr>
        <w:t>£7.1m</w:t>
      </w:r>
      <w:r w:rsidRPr="00F83792">
        <w:rPr>
          <w:rFonts w:ascii="Arial" w:eastAsia="Arial Unicode MS" w:hAnsi="Arial" w:cs="Arial"/>
          <w:sz w:val="22"/>
        </w:rPr>
        <w:t xml:space="preserve"> </w:t>
      </w:r>
      <w:r w:rsidRPr="00F83792">
        <w:rPr>
          <w:rFonts w:ascii="Arial" w:eastAsia="Arial Unicode MS" w:hAnsi="Arial" w:cs="Arial"/>
          <w:sz w:val="22"/>
        </w:rPr>
        <w:t>of fees is based on such estimates (2015/16: £4.7m).</w:t>
      </w:r>
    </w:p>
    <w:p w:rsidR="00E64BDB" w:rsidRPr="00F83792" w:rsidRDefault="00E56C9A" w:rsidP="00AB27C4">
      <w:pPr>
        <w:rPr>
          <w:rFonts w:ascii="Arial" w:eastAsia="Arial Unicode MS" w:hAnsi="Arial" w:cs="Arial"/>
        </w:rPr>
      </w:pPr>
    </w:p>
    <w:p w:rsidR="00E64BDB" w:rsidRPr="00F83792" w:rsidRDefault="00E56C9A" w:rsidP="00DC78E9">
      <w:pPr>
        <w:jc w:val="both"/>
        <w:rPr>
          <w:rFonts w:ascii="Arial" w:eastAsia="Arial Unicode MS" w:hAnsi="Arial" w:cs="Arial"/>
          <w:b/>
          <w:color w:val="000000"/>
          <w:sz w:val="32"/>
          <w:szCs w:val="22"/>
        </w:rPr>
      </w:pPr>
    </w:p>
    <w:p w:rsidR="00DC78E9" w:rsidRPr="00F83792" w:rsidRDefault="00E56C9A" w:rsidP="00DC78E9">
      <w:pPr>
        <w:autoSpaceDE w:val="0"/>
        <w:autoSpaceDN w:val="0"/>
        <w:adjustRightInd w:val="0"/>
        <w:jc w:val="both"/>
        <w:rPr>
          <w:rFonts w:ascii="Arial" w:eastAsia="Arial Unicode MS" w:hAnsi="Arial" w:cs="Arial"/>
          <w:b/>
          <w:color w:val="000000"/>
          <w:sz w:val="20"/>
          <w:szCs w:val="22"/>
        </w:rPr>
      </w:pPr>
    </w:p>
    <w:p w:rsidR="00DC78E9" w:rsidRPr="00F83792" w:rsidRDefault="00E56C9A" w:rsidP="00DC78E9">
      <w:pPr>
        <w:autoSpaceDE w:val="0"/>
        <w:autoSpaceDN w:val="0"/>
        <w:adjustRightInd w:val="0"/>
        <w:ind w:left="567" w:hanging="567"/>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 xml:space="preserve">3.3 </w:t>
      </w:r>
      <w:r w:rsidRPr="00F83792">
        <w:rPr>
          <w:rFonts w:ascii="Arial" w:eastAsia="Arial Unicode MS" w:hAnsi="Arial" w:cs="Arial"/>
          <w:b/>
          <w:color w:val="000000"/>
          <w:sz w:val="32"/>
          <w:szCs w:val="22"/>
        </w:rPr>
        <w:tab/>
        <w:t>Net assets statement</w:t>
      </w:r>
    </w:p>
    <w:p w:rsidR="00DC78E9" w:rsidRPr="00F83792" w:rsidRDefault="00E56C9A" w:rsidP="00DC78E9">
      <w:pPr>
        <w:autoSpaceDE w:val="0"/>
        <w:autoSpaceDN w:val="0"/>
        <w:adjustRightInd w:val="0"/>
        <w:jc w:val="both"/>
        <w:rPr>
          <w:rFonts w:ascii="Arial" w:eastAsia="Arial Unicode MS" w:hAnsi="Arial" w:cs="Arial"/>
          <w:b/>
          <w:color w:val="000000"/>
          <w:szCs w:val="22"/>
        </w:rPr>
      </w:pPr>
    </w:p>
    <w:p w:rsidR="00DC78E9" w:rsidRPr="00F83792" w:rsidRDefault="00E56C9A" w:rsidP="00DC78E9">
      <w:pPr>
        <w:autoSpaceDE w:val="0"/>
        <w:autoSpaceDN w:val="0"/>
        <w:adjustRightInd w:val="0"/>
        <w:ind w:left="567" w:hanging="567"/>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 xml:space="preserve">3.3.1 Financial assets </w:t>
      </w:r>
    </w:p>
    <w:p w:rsidR="00DC78E9" w:rsidRPr="00F83792" w:rsidRDefault="00E56C9A" w:rsidP="00DC78E9">
      <w:pPr>
        <w:autoSpaceDE w:val="0"/>
        <w:autoSpaceDN w:val="0"/>
        <w:adjustRightInd w:val="0"/>
        <w:ind w:left="567"/>
        <w:jc w:val="both"/>
        <w:rPr>
          <w:rFonts w:ascii="Arial" w:eastAsia="Arial Unicode MS" w:hAnsi="Arial" w:cs="Arial"/>
          <w:b/>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Financial </w:t>
      </w:r>
      <w:r w:rsidRPr="00F83792">
        <w:rPr>
          <w:rFonts w:ascii="Arial" w:eastAsia="Arial Unicode MS" w:hAnsi="Arial" w:cs="Arial"/>
          <w:color w:val="000000"/>
          <w:sz w:val="22"/>
          <w:szCs w:val="22"/>
        </w:rPr>
        <w:t>assets are</w:t>
      </w:r>
      <w:r w:rsidRPr="00F83792">
        <w:rPr>
          <w:rFonts w:ascii="Arial" w:eastAsia="Arial Unicode MS" w:hAnsi="Arial" w:cs="Arial"/>
          <w:color w:val="000000"/>
          <w:sz w:val="22"/>
          <w:szCs w:val="22"/>
        </w:rPr>
        <w:t xml:space="preserve"> included in the net assets statement on a fair value basis as at the reporting date.  A financial asset is recognised in the net assets statement on the date the Fund becomes party to the contractual acquisition of the asset.  From this date any gains or </w:t>
      </w:r>
      <w:r w:rsidRPr="00F83792">
        <w:rPr>
          <w:rFonts w:ascii="Arial" w:eastAsia="Arial Unicode MS" w:hAnsi="Arial" w:cs="Arial"/>
          <w:color w:val="000000"/>
          <w:sz w:val="22"/>
          <w:szCs w:val="22"/>
        </w:rPr>
        <w:t xml:space="preserve">losses arising from changes in the fair value of the asset are recognised </w:t>
      </w:r>
      <w:r w:rsidRPr="00F83792">
        <w:rPr>
          <w:rFonts w:ascii="Arial" w:eastAsia="Arial Unicode MS" w:hAnsi="Arial" w:cs="Arial"/>
          <w:color w:val="000000"/>
          <w:sz w:val="22"/>
          <w:szCs w:val="22"/>
        </w:rPr>
        <w:t>in the fund account</w:t>
      </w:r>
      <w:r w:rsidRPr="00F83792">
        <w:rPr>
          <w:rFonts w:ascii="Arial" w:eastAsia="Arial Unicode MS" w:hAnsi="Arial" w:cs="Arial"/>
          <w:color w:val="000000"/>
          <w:sz w:val="22"/>
          <w:szCs w:val="22"/>
        </w:rPr>
        <w:t>.</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The values of investments as shown in the net assets statement have been determined </w:t>
      </w:r>
      <w:r w:rsidRPr="00F83792">
        <w:rPr>
          <w:rFonts w:ascii="Arial" w:eastAsia="Arial Unicode MS" w:hAnsi="Arial" w:cs="Arial"/>
          <w:color w:val="000000"/>
          <w:sz w:val="22"/>
          <w:szCs w:val="22"/>
        </w:rPr>
        <w:t>at fair value in accordance with the requirements of the code and IFRS13.  F</w:t>
      </w:r>
      <w:r w:rsidRPr="00F83792">
        <w:rPr>
          <w:rFonts w:ascii="Arial" w:eastAsia="Arial Unicode MS" w:hAnsi="Arial" w:cs="Arial"/>
          <w:color w:val="000000"/>
          <w:sz w:val="22"/>
          <w:szCs w:val="22"/>
        </w:rPr>
        <w:t xml:space="preserve">or the purpose of disclosing levels of fair value hierarchy, the Fund has adopted the classification guidelines recommended in </w:t>
      </w:r>
      <w:r w:rsidRPr="00F83792">
        <w:rPr>
          <w:rFonts w:ascii="Arial" w:eastAsia="Arial Unicode MS" w:hAnsi="Arial" w:cs="Arial"/>
          <w:i/>
          <w:color w:val="000000"/>
          <w:sz w:val="22"/>
          <w:szCs w:val="22"/>
        </w:rPr>
        <w:t xml:space="preserve">Practical </w:t>
      </w:r>
      <w:r w:rsidRPr="00F83792">
        <w:rPr>
          <w:rFonts w:ascii="Arial" w:eastAsia="Arial Unicode MS" w:hAnsi="Arial" w:cs="Arial"/>
          <w:i/>
          <w:color w:val="000000"/>
          <w:sz w:val="22"/>
          <w:szCs w:val="22"/>
        </w:rPr>
        <w:t xml:space="preserve">Guidance on Investment Disclosures </w:t>
      </w:r>
      <w:r w:rsidRPr="00F83792">
        <w:rPr>
          <w:rFonts w:ascii="Arial" w:eastAsia="Arial Unicode MS" w:hAnsi="Arial" w:cs="Arial"/>
          <w:color w:val="000000"/>
          <w:sz w:val="22"/>
          <w:szCs w:val="22"/>
        </w:rPr>
        <w:t>(PRAG</w:t>
      </w:r>
      <w:r w:rsidRPr="00F83792">
        <w:rPr>
          <w:rFonts w:ascii="Arial" w:eastAsia="Arial Unicode MS" w:hAnsi="Arial" w:cs="Arial"/>
          <w:color w:val="000000"/>
          <w:sz w:val="22"/>
          <w:szCs w:val="22"/>
        </w:rPr>
        <w:t>/Investment Association, 2016).</w:t>
      </w:r>
    </w:p>
    <w:p w:rsidR="00DC78E9" w:rsidRPr="00F83792" w:rsidRDefault="00E56C9A" w:rsidP="00DC78E9">
      <w:pPr>
        <w:tabs>
          <w:tab w:val="left" w:pos="567"/>
          <w:tab w:val="left" w:pos="1134"/>
        </w:tabs>
        <w:ind w:left="567"/>
        <w:contextualSpacing/>
        <w:jc w:val="both"/>
        <w:rPr>
          <w:rFonts w:ascii="Arial" w:eastAsia="Arial Unicode MS" w:hAnsi="Arial" w:cs="Arial"/>
          <w:b/>
          <w:color w:val="000000"/>
          <w:sz w:val="22"/>
          <w:szCs w:val="22"/>
        </w:rPr>
      </w:pPr>
    </w:p>
    <w:p w:rsidR="00DC78E9" w:rsidRPr="00F83792" w:rsidRDefault="00E56C9A" w:rsidP="00DC78E9">
      <w:pPr>
        <w:tabs>
          <w:tab w:val="left" w:pos="993"/>
          <w:tab w:val="left" w:pos="1134"/>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left" w:pos="927"/>
        </w:tabs>
        <w:ind w:left="567" w:hanging="567"/>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3.3.</w:t>
      </w:r>
      <w:r w:rsidRPr="00F83792">
        <w:rPr>
          <w:rFonts w:ascii="Arial" w:eastAsia="Arial Unicode MS" w:hAnsi="Arial" w:cs="Arial"/>
          <w:b/>
          <w:color w:val="000000"/>
          <w:sz w:val="32"/>
          <w:szCs w:val="22"/>
        </w:rPr>
        <w:t xml:space="preserve">2 </w:t>
      </w:r>
      <w:r w:rsidRPr="00F83792">
        <w:rPr>
          <w:rFonts w:ascii="Arial" w:eastAsia="Arial Unicode MS" w:hAnsi="Arial" w:cs="Arial"/>
          <w:b/>
          <w:color w:val="000000"/>
          <w:sz w:val="32"/>
          <w:szCs w:val="22"/>
        </w:rPr>
        <w:t>Freehold and leasehold properties</w:t>
      </w:r>
    </w:p>
    <w:p w:rsidR="00DC78E9" w:rsidRPr="00F83792" w:rsidRDefault="00E56C9A" w:rsidP="00DC78E9">
      <w:pPr>
        <w:tabs>
          <w:tab w:val="left" w:pos="709"/>
          <w:tab w:val="left" w:pos="1134"/>
        </w:tabs>
        <w:ind w:left="567"/>
        <w:contextualSpacing/>
        <w:jc w:val="both"/>
        <w:rPr>
          <w:rFonts w:ascii="Arial" w:eastAsia="Arial Unicode MS" w:hAnsi="Arial" w:cs="Arial"/>
          <w:color w:val="000000"/>
          <w:sz w:val="22"/>
          <w:szCs w:val="22"/>
        </w:rPr>
      </w:pPr>
    </w:p>
    <w:p w:rsidR="00DC78E9" w:rsidRPr="00F83792" w:rsidRDefault="00E56C9A" w:rsidP="00DC78E9">
      <w:pPr>
        <w:tabs>
          <w:tab w:val="left" w:pos="1134"/>
        </w:tabs>
        <w:autoSpaceDE w:val="0"/>
        <w:autoSpaceDN w:val="0"/>
        <w:adjustRightInd w:val="0"/>
        <w:contextualSpacing/>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The </w:t>
      </w:r>
      <w:r w:rsidRPr="00F83792">
        <w:rPr>
          <w:rFonts w:ascii="Arial" w:eastAsia="Arial Unicode MS" w:hAnsi="Arial" w:cs="Arial"/>
          <w:color w:val="000000"/>
          <w:sz w:val="22"/>
          <w:szCs w:val="22"/>
        </w:rPr>
        <w:t>properties were valued at open market value at 31 March 201</w:t>
      </w:r>
      <w:r w:rsidRPr="00F83792">
        <w:rPr>
          <w:rFonts w:ascii="Arial" w:eastAsia="Arial Unicode MS" w:hAnsi="Arial" w:cs="Arial"/>
          <w:color w:val="000000"/>
          <w:sz w:val="22"/>
          <w:szCs w:val="22"/>
        </w:rPr>
        <w:t>7</w:t>
      </w:r>
      <w:r w:rsidRPr="00F83792">
        <w:rPr>
          <w:rFonts w:ascii="Arial" w:eastAsia="Arial Unicode MS" w:hAnsi="Arial" w:cs="Arial"/>
          <w:color w:val="000000"/>
          <w:sz w:val="22"/>
          <w:szCs w:val="22"/>
        </w:rPr>
        <w:t xml:space="preserve"> by </w:t>
      </w:r>
      <w:r w:rsidRPr="00F83792">
        <w:rPr>
          <w:rFonts w:ascii="Arial" w:eastAsia="Arial Unicode MS" w:hAnsi="Arial" w:cs="Arial"/>
          <w:color w:val="000000"/>
          <w:sz w:val="22"/>
          <w:szCs w:val="22"/>
        </w:rPr>
        <w:t xml:space="preserve">independent property </w:t>
      </w:r>
      <w:proofErr w:type="spellStart"/>
      <w:r w:rsidRPr="00F83792">
        <w:rPr>
          <w:rFonts w:ascii="Arial" w:eastAsia="Arial Unicode MS" w:hAnsi="Arial" w:cs="Arial"/>
          <w:color w:val="000000"/>
          <w:sz w:val="22"/>
          <w:szCs w:val="22"/>
        </w:rPr>
        <w:t>valuers</w:t>
      </w:r>
      <w:proofErr w:type="spellEnd"/>
      <w:r w:rsidRPr="00F83792">
        <w:rPr>
          <w:rFonts w:ascii="Arial" w:eastAsia="Arial Unicode MS" w:hAnsi="Arial" w:cs="Arial"/>
          <w:color w:val="000000"/>
          <w:sz w:val="22"/>
          <w:szCs w:val="22"/>
        </w:rPr>
        <w:t xml:space="preserve"> GVA </w:t>
      </w:r>
      <w:proofErr w:type="spellStart"/>
      <w:r w:rsidRPr="00F83792">
        <w:rPr>
          <w:rFonts w:ascii="Arial" w:eastAsia="Arial Unicode MS" w:hAnsi="Arial" w:cs="Arial"/>
          <w:color w:val="000000"/>
          <w:sz w:val="22"/>
          <w:szCs w:val="22"/>
        </w:rPr>
        <w:t>Grimley</w:t>
      </w:r>
      <w:proofErr w:type="spellEnd"/>
      <w:r w:rsidRPr="00F83792">
        <w:rPr>
          <w:rFonts w:ascii="Arial" w:eastAsia="Arial Unicode MS" w:hAnsi="Arial" w:cs="Arial"/>
          <w:color w:val="000000"/>
          <w:sz w:val="22"/>
          <w:szCs w:val="22"/>
        </w:rPr>
        <w:t xml:space="preserve"> Limited </w:t>
      </w:r>
      <w:r w:rsidRPr="00F83792">
        <w:rPr>
          <w:rFonts w:ascii="Arial" w:eastAsia="Arial Unicode MS" w:hAnsi="Arial" w:cs="Arial"/>
          <w:color w:val="000000"/>
          <w:sz w:val="22"/>
          <w:szCs w:val="22"/>
        </w:rPr>
        <w:t>in accordance with the Royal Institute of Chartered Surveyors' Valuation Standards (9</w:t>
      </w:r>
      <w:r w:rsidRPr="00F83792">
        <w:rPr>
          <w:rFonts w:ascii="Arial" w:eastAsia="Arial Unicode MS" w:hAnsi="Arial" w:cs="Arial"/>
          <w:color w:val="000000"/>
          <w:sz w:val="22"/>
          <w:szCs w:val="22"/>
          <w:vertAlign w:val="superscript"/>
        </w:rPr>
        <w:t>th</w:t>
      </w:r>
      <w:r w:rsidRPr="00F83792">
        <w:rPr>
          <w:rFonts w:ascii="Arial" w:eastAsia="Arial Unicode MS" w:hAnsi="Arial" w:cs="Arial"/>
          <w:color w:val="000000"/>
          <w:sz w:val="22"/>
          <w:szCs w:val="22"/>
        </w:rPr>
        <w:t xml:space="preserve"> Edition).  The </w:t>
      </w:r>
      <w:proofErr w:type="spellStart"/>
      <w:r w:rsidRPr="00F83792">
        <w:rPr>
          <w:rFonts w:ascii="Arial" w:eastAsia="Arial Unicode MS" w:hAnsi="Arial" w:cs="Arial"/>
          <w:color w:val="000000"/>
          <w:sz w:val="22"/>
          <w:szCs w:val="22"/>
        </w:rPr>
        <w:t>valuer's</w:t>
      </w:r>
      <w:proofErr w:type="spellEnd"/>
      <w:r w:rsidRPr="00F83792">
        <w:rPr>
          <w:rFonts w:ascii="Arial" w:eastAsia="Arial Unicode MS" w:hAnsi="Arial" w:cs="Arial"/>
          <w:color w:val="000000"/>
          <w:sz w:val="22"/>
          <w:szCs w:val="22"/>
        </w:rPr>
        <w:t xml:space="preserve"> opinion of market value and existing use value was primarily derived using comparable recent market transactions on arms-length terms.</w:t>
      </w:r>
    </w:p>
    <w:p w:rsidR="00DC78E9" w:rsidRPr="00F83792" w:rsidRDefault="00E56C9A" w:rsidP="00DC78E9">
      <w:pPr>
        <w:tabs>
          <w:tab w:val="left" w:pos="1134"/>
        </w:tabs>
        <w:autoSpaceDE w:val="0"/>
        <w:autoSpaceDN w:val="0"/>
        <w:adjustRightInd w:val="0"/>
        <w:ind w:left="567"/>
        <w:contextualSpacing/>
        <w:jc w:val="both"/>
        <w:rPr>
          <w:rFonts w:ascii="Arial" w:eastAsia="Arial Unicode MS" w:hAnsi="Arial" w:cs="Arial"/>
          <w:color w:val="000000"/>
          <w:sz w:val="22"/>
          <w:szCs w:val="22"/>
        </w:rPr>
      </w:pPr>
    </w:p>
    <w:p w:rsidR="00DC78E9" w:rsidRPr="00F83792" w:rsidRDefault="00E56C9A" w:rsidP="00DC78E9">
      <w:pPr>
        <w:tabs>
          <w:tab w:val="left" w:pos="927"/>
        </w:tabs>
        <w:ind w:left="567" w:hanging="567"/>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3.3.</w:t>
      </w:r>
      <w:r w:rsidRPr="00F83792">
        <w:rPr>
          <w:rFonts w:ascii="Arial" w:eastAsia="Arial Unicode MS" w:hAnsi="Arial" w:cs="Arial"/>
          <w:b/>
          <w:color w:val="000000"/>
          <w:sz w:val="32"/>
          <w:szCs w:val="22"/>
        </w:rPr>
        <w:t xml:space="preserve">3 </w:t>
      </w:r>
      <w:r w:rsidRPr="00F83792">
        <w:rPr>
          <w:rFonts w:ascii="Arial" w:eastAsia="Arial Unicode MS" w:hAnsi="Arial" w:cs="Arial"/>
          <w:b/>
          <w:color w:val="000000"/>
          <w:sz w:val="32"/>
          <w:szCs w:val="22"/>
        </w:rPr>
        <w:t>Foreign currency transactions</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b/>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Dividends, interest and purchases and sales of investments</w:t>
      </w:r>
      <w:r w:rsidRPr="00F83792">
        <w:rPr>
          <w:rFonts w:ascii="Arial" w:eastAsia="Arial Unicode MS" w:hAnsi="Arial" w:cs="Arial"/>
          <w:color w:val="000000"/>
          <w:sz w:val="22"/>
          <w:szCs w:val="22"/>
        </w:rPr>
        <w:t xml:space="preserve"> in foreign currencies have been accounted for at the spot market rates at the date of transaction.  End-of-year spot market exchange rates are used to value cash balances held in foreign currency bank accounts, market values of overseas investments and pu</w:t>
      </w:r>
      <w:r w:rsidRPr="00F83792">
        <w:rPr>
          <w:rFonts w:ascii="Arial" w:eastAsia="Arial Unicode MS" w:hAnsi="Arial" w:cs="Arial"/>
          <w:color w:val="000000"/>
          <w:sz w:val="22"/>
          <w:szCs w:val="22"/>
        </w:rPr>
        <w:t>rchases and sales outstanding at the end of the reporting period.  Any gains or losses are treated as part of a change in market value of investments.</w:t>
      </w:r>
    </w:p>
    <w:p w:rsidR="00DC78E9" w:rsidRPr="00F83792" w:rsidRDefault="00E56C9A" w:rsidP="00DC78E9">
      <w:pPr>
        <w:autoSpaceDE w:val="0"/>
        <w:autoSpaceDN w:val="0"/>
        <w:adjustRightInd w:val="0"/>
        <w:ind w:left="567" w:hanging="567"/>
        <w:jc w:val="both"/>
        <w:rPr>
          <w:rFonts w:ascii="Arial" w:eastAsia="Arial Unicode MS" w:hAnsi="Arial" w:cs="Arial"/>
          <w:b/>
          <w:color w:val="000000"/>
          <w:sz w:val="22"/>
          <w:szCs w:val="22"/>
        </w:rPr>
      </w:pPr>
    </w:p>
    <w:p w:rsidR="00DC78E9" w:rsidRPr="00F83792" w:rsidRDefault="00E56C9A" w:rsidP="00DC78E9">
      <w:pPr>
        <w:tabs>
          <w:tab w:val="left" w:pos="927"/>
        </w:tabs>
        <w:ind w:left="567" w:hanging="567"/>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3.3.</w:t>
      </w:r>
      <w:r>
        <w:rPr>
          <w:rFonts w:ascii="Arial" w:eastAsia="Arial Unicode MS" w:hAnsi="Arial" w:cs="Arial"/>
          <w:b/>
          <w:color w:val="000000"/>
          <w:sz w:val="32"/>
          <w:szCs w:val="22"/>
        </w:rPr>
        <w:t>4</w:t>
      </w:r>
      <w:r w:rsidRPr="00F83792">
        <w:rPr>
          <w:rFonts w:ascii="Arial" w:eastAsia="Arial Unicode MS" w:hAnsi="Arial" w:cs="Arial"/>
          <w:b/>
          <w:color w:val="000000"/>
          <w:sz w:val="32"/>
          <w:szCs w:val="22"/>
        </w:rPr>
        <w:t xml:space="preserve"> </w:t>
      </w:r>
      <w:r w:rsidRPr="00F83792">
        <w:rPr>
          <w:rFonts w:ascii="Arial" w:eastAsia="Arial Unicode MS" w:hAnsi="Arial" w:cs="Arial"/>
          <w:b/>
          <w:color w:val="000000"/>
          <w:sz w:val="32"/>
          <w:szCs w:val="22"/>
        </w:rPr>
        <w:t>Loans and receivables</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b/>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Loans and receivables are non-derivative financial assets with fixed or </w:t>
      </w:r>
      <w:r w:rsidRPr="00F83792">
        <w:rPr>
          <w:rFonts w:ascii="Arial" w:eastAsia="Arial Unicode MS" w:hAnsi="Arial" w:cs="Arial"/>
          <w:color w:val="000000"/>
          <w:sz w:val="22"/>
          <w:szCs w:val="22"/>
        </w:rPr>
        <w:t>determinable payments that are not quoted in an active market.</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The Fund's loans and receivables comprise of trade and other receivables and cash deposits.</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left" w:pos="927"/>
        </w:tabs>
        <w:ind w:left="567" w:hanging="567"/>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3.3.</w:t>
      </w:r>
      <w:r>
        <w:rPr>
          <w:rFonts w:ascii="Arial" w:eastAsia="Arial Unicode MS" w:hAnsi="Arial" w:cs="Arial"/>
          <w:b/>
          <w:color w:val="000000"/>
          <w:sz w:val="32"/>
          <w:szCs w:val="22"/>
        </w:rPr>
        <w:t>5</w:t>
      </w:r>
      <w:r w:rsidRPr="00F83792">
        <w:rPr>
          <w:rFonts w:ascii="Arial" w:eastAsia="Arial Unicode MS" w:hAnsi="Arial" w:cs="Arial"/>
          <w:b/>
          <w:color w:val="000000"/>
          <w:sz w:val="32"/>
          <w:szCs w:val="22"/>
        </w:rPr>
        <w:t xml:space="preserve"> </w:t>
      </w:r>
      <w:r w:rsidRPr="00F83792">
        <w:rPr>
          <w:rFonts w:ascii="Arial" w:eastAsia="Arial Unicode MS" w:hAnsi="Arial" w:cs="Arial"/>
          <w:b/>
          <w:color w:val="000000"/>
          <w:sz w:val="32"/>
          <w:szCs w:val="22"/>
        </w:rPr>
        <w:t>Cash and cash equivalents</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b/>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lastRenderedPageBreak/>
        <w:t>Cash comprises of cash in hand and on demand deposits and includes</w:t>
      </w:r>
      <w:r w:rsidRPr="00F83792">
        <w:rPr>
          <w:rFonts w:ascii="Arial" w:eastAsia="Arial Unicode MS" w:hAnsi="Arial" w:cs="Arial"/>
          <w:color w:val="000000"/>
          <w:sz w:val="22"/>
          <w:szCs w:val="22"/>
        </w:rPr>
        <w:t xml:space="preserve"> amounts held by the Fund's external managers.</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Cash equivalents are short-term, highly liquid investments that are readily convertible to known amounts of cash and that are subject to minimal risk of changes in value.</w:t>
      </w: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p>
    <w:p w:rsidR="00DC78E9" w:rsidRPr="00F83792" w:rsidRDefault="00E56C9A" w:rsidP="00DC78E9">
      <w:pPr>
        <w:tabs>
          <w:tab w:val="left" w:pos="927"/>
        </w:tabs>
        <w:ind w:left="567" w:hanging="567"/>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3.3.</w:t>
      </w:r>
      <w:r>
        <w:rPr>
          <w:rFonts w:ascii="Arial" w:eastAsia="Arial Unicode MS" w:hAnsi="Arial" w:cs="Arial"/>
          <w:b/>
          <w:color w:val="000000"/>
          <w:sz w:val="32"/>
          <w:szCs w:val="22"/>
        </w:rPr>
        <w:t>6</w:t>
      </w:r>
      <w:r w:rsidRPr="00F83792">
        <w:rPr>
          <w:rFonts w:ascii="Arial" w:eastAsia="Arial Unicode MS" w:hAnsi="Arial" w:cs="Arial"/>
          <w:b/>
          <w:color w:val="000000"/>
          <w:sz w:val="32"/>
          <w:szCs w:val="22"/>
        </w:rPr>
        <w:t xml:space="preserve"> </w:t>
      </w:r>
      <w:r w:rsidRPr="00F83792">
        <w:rPr>
          <w:rFonts w:ascii="Arial" w:eastAsia="Arial Unicode MS" w:hAnsi="Arial" w:cs="Arial"/>
          <w:b/>
          <w:color w:val="000000"/>
          <w:sz w:val="32"/>
          <w:szCs w:val="22"/>
        </w:rPr>
        <w:t>Financial liabilities</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b/>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The Fun</w:t>
      </w:r>
      <w:r w:rsidRPr="00F83792">
        <w:rPr>
          <w:rFonts w:ascii="Arial" w:eastAsia="Arial Unicode MS" w:hAnsi="Arial" w:cs="Arial"/>
          <w:color w:val="000000"/>
          <w:sz w:val="22"/>
          <w:szCs w:val="22"/>
        </w:rPr>
        <w:t xml:space="preserve">d recognises financial liabilities at fair value at the reporting date. A financial liability is recognised in the net assets statement on the date the Fund becomes party to a liability.  From this date any gains or losses arising from changes in the fair </w:t>
      </w:r>
      <w:r w:rsidRPr="00F83792">
        <w:rPr>
          <w:rFonts w:ascii="Arial" w:eastAsia="Arial Unicode MS" w:hAnsi="Arial" w:cs="Arial"/>
          <w:color w:val="000000"/>
          <w:sz w:val="22"/>
          <w:szCs w:val="22"/>
        </w:rPr>
        <w:t>value of the liability are recognised by the Fund.</w:t>
      </w:r>
    </w:p>
    <w:p w:rsidR="00CF7BAD" w:rsidRPr="00F83792" w:rsidRDefault="00E56C9A" w:rsidP="00DC78E9">
      <w:pPr>
        <w:tabs>
          <w:tab w:val="left"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left"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left" w:pos="927"/>
        </w:tabs>
        <w:ind w:left="567" w:hanging="567"/>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3.3.</w:t>
      </w:r>
      <w:r>
        <w:rPr>
          <w:rFonts w:ascii="Arial" w:eastAsia="Arial Unicode MS" w:hAnsi="Arial" w:cs="Arial"/>
          <w:b/>
          <w:color w:val="000000"/>
          <w:sz w:val="32"/>
          <w:szCs w:val="22"/>
        </w:rPr>
        <w:t>7</w:t>
      </w:r>
      <w:r w:rsidRPr="00F83792">
        <w:rPr>
          <w:rFonts w:ascii="Arial" w:eastAsia="Arial Unicode MS" w:hAnsi="Arial" w:cs="Arial"/>
          <w:b/>
          <w:color w:val="000000"/>
          <w:sz w:val="32"/>
          <w:szCs w:val="22"/>
        </w:rPr>
        <w:t xml:space="preserve"> </w:t>
      </w:r>
      <w:r w:rsidRPr="00F83792">
        <w:rPr>
          <w:rFonts w:ascii="Arial" w:eastAsia="Arial Unicode MS" w:hAnsi="Arial" w:cs="Arial"/>
          <w:b/>
          <w:color w:val="000000"/>
          <w:sz w:val="32"/>
          <w:szCs w:val="22"/>
        </w:rPr>
        <w:t>Actuarial present value of promised retirement benefits</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b/>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The actuarial present value of promised retirement benefits is assessed on a triennial basis by the scheme actuary in accordance with the </w:t>
      </w:r>
      <w:r w:rsidRPr="00F83792">
        <w:rPr>
          <w:rFonts w:ascii="Arial" w:eastAsia="Arial Unicode MS" w:hAnsi="Arial" w:cs="Arial"/>
          <w:color w:val="000000"/>
          <w:sz w:val="22"/>
          <w:szCs w:val="22"/>
        </w:rPr>
        <w:t>requirements of IAS19 and relevant actuarial standards.</w:t>
      </w: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As permitted under </w:t>
      </w:r>
      <w:r w:rsidRPr="00F83792">
        <w:rPr>
          <w:rFonts w:ascii="Arial" w:eastAsia="Arial Unicode MS" w:hAnsi="Arial" w:cs="Arial"/>
          <w:color w:val="000000"/>
          <w:sz w:val="22"/>
          <w:szCs w:val="22"/>
        </w:rPr>
        <w:t xml:space="preserve">the Code, </w:t>
      </w:r>
      <w:r w:rsidRPr="00F83792">
        <w:rPr>
          <w:rFonts w:ascii="Arial" w:eastAsia="Arial Unicode MS" w:hAnsi="Arial" w:cs="Arial"/>
          <w:color w:val="000000"/>
          <w:sz w:val="22"/>
          <w:szCs w:val="22"/>
        </w:rPr>
        <w:t xml:space="preserve">the Fund has opted to disclose the actuarial present value of promised retirement benefits by way of a note to the net assets statement (note </w:t>
      </w:r>
      <w:r w:rsidRPr="00F83792">
        <w:rPr>
          <w:rFonts w:ascii="Arial" w:eastAsia="Arial Unicode MS" w:hAnsi="Arial" w:cs="Arial"/>
          <w:color w:val="000000"/>
          <w:sz w:val="22"/>
          <w:szCs w:val="22"/>
        </w:rPr>
        <w:t>2</w:t>
      </w:r>
      <w:r>
        <w:rPr>
          <w:rFonts w:ascii="Arial" w:eastAsia="Arial Unicode MS" w:hAnsi="Arial" w:cs="Arial"/>
          <w:color w:val="000000"/>
          <w:sz w:val="22"/>
          <w:szCs w:val="22"/>
        </w:rPr>
        <w:t>6</w:t>
      </w:r>
      <w:r w:rsidRPr="00F83792">
        <w:rPr>
          <w:rFonts w:ascii="Arial" w:eastAsia="Arial Unicode MS" w:hAnsi="Arial" w:cs="Arial"/>
          <w:color w:val="000000"/>
          <w:sz w:val="22"/>
          <w:szCs w:val="22"/>
        </w:rPr>
        <w:t>).</w:t>
      </w: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p>
    <w:p w:rsidR="00DC78E9" w:rsidRPr="00F83792" w:rsidRDefault="00E56C9A" w:rsidP="00DC78E9">
      <w:pPr>
        <w:tabs>
          <w:tab w:val="left" w:pos="927"/>
        </w:tabs>
        <w:ind w:left="567" w:hanging="567"/>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3.3.</w:t>
      </w:r>
      <w:r>
        <w:rPr>
          <w:rFonts w:ascii="Arial" w:eastAsia="Arial Unicode MS" w:hAnsi="Arial" w:cs="Arial"/>
          <w:b/>
          <w:color w:val="000000"/>
          <w:sz w:val="32"/>
          <w:szCs w:val="22"/>
        </w:rPr>
        <w:t>8</w:t>
      </w:r>
      <w:r w:rsidRPr="00F83792">
        <w:rPr>
          <w:rFonts w:ascii="Arial" w:eastAsia="Arial Unicode MS" w:hAnsi="Arial" w:cs="Arial"/>
          <w:b/>
          <w:color w:val="000000"/>
          <w:sz w:val="32"/>
          <w:szCs w:val="22"/>
        </w:rPr>
        <w:t xml:space="preserve"> </w:t>
      </w:r>
      <w:r w:rsidRPr="00F83792">
        <w:rPr>
          <w:rFonts w:ascii="Arial" w:eastAsia="Arial Unicode MS" w:hAnsi="Arial" w:cs="Arial"/>
          <w:b/>
          <w:color w:val="000000"/>
          <w:sz w:val="32"/>
          <w:szCs w:val="22"/>
        </w:rPr>
        <w:t xml:space="preserve">Additional </w:t>
      </w:r>
      <w:r w:rsidRPr="00F83792">
        <w:rPr>
          <w:rFonts w:ascii="Arial" w:eastAsia="Arial Unicode MS" w:hAnsi="Arial" w:cs="Arial"/>
          <w:b/>
          <w:color w:val="000000"/>
          <w:sz w:val="32"/>
          <w:szCs w:val="22"/>
        </w:rPr>
        <w:t>voluntary contributions</w:t>
      </w:r>
    </w:p>
    <w:p w:rsidR="00DC78E9" w:rsidRPr="00F83792" w:rsidRDefault="00E56C9A" w:rsidP="00DC78E9">
      <w:pPr>
        <w:tabs>
          <w:tab w:val="left" w:pos="567"/>
        </w:tabs>
        <w:autoSpaceDE w:val="0"/>
        <w:autoSpaceDN w:val="0"/>
        <w:adjustRightInd w:val="0"/>
        <w:ind w:left="567" w:hanging="567"/>
        <w:jc w:val="both"/>
        <w:rPr>
          <w:rFonts w:ascii="Arial" w:eastAsia="Arial Unicode MS" w:hAnsi="Arial" w:cs="Arial"/>
          <w:b/>
          <w:color w:val="000000"/>
          <w:sz w:val="28"/>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Lancashire County Pension Fund provides an additional voluntary contributions (AVC) scheme for its members, the assets of which are invested separately from those of the Pension Fund.  The AVC providers to the Pension Fund are </w:t>
      </w:r>
      <w:r w:rsidRPr="00F83792">
        <w:rPr>
          <w:rFonts w:ascii="Arial" w:eastAsia="Arial Unicode MS" w:hAnsi="Arial" w:cs="Arial"/>
          <w:color w:val="000000"/>
          <w:sz w:val="22"/>
          <w:szCs w:val="22"/>
        </w:rPr>
        <w:t>Equitable Life and Prudential.  AVCs are paid to the AVC provider by employers and are specifically for providing additional benefits for individual contributors.  Each AVC contributor receives an annual statement showing the amount held in their account a</w:t>
      </w:r>
      <w:r w:rsidRPr="00F83792">
        <w:rPr>
          <w:rFonts w:ascii="Arial" w:eastAsia="Arial Unicode MS" w:hAnsi="Arial" w:cs="Arial"/>
          <w:color w:val="000000"/>
          <w:sz w:val="22"/>
          <w:szCs w:val="22"/>
        </w:rPr>
        <w:t>nd the movements in the year.</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AVCs are not included in the Pension Fund accounts in accordance with section 4(</w:t>
      </w:r>
      <w:r w:rsidRPr="00F83792">
        <w:rPr>
          <w:rFonts w:ascii="Arial" w:eastAsia="Arial Unicode MS" w:hAnsi="Arial" w:cs="Arial"/>
          <w:color w:val="000000"/>
          <w:sz w:val="22"/>
          <w:szCs w:val="22"/>
        </w:rPr>
        <w:t>1</w:t>
      </w:r>
      <w:r w:rsidRPr="00F83792">
        <w:rPr>
          <w:rFonts w:ascii="Arial" w:eastAsia="Arial Unicode MS" w:hAnsi="Arial" w:cs="Arial"/>
          <w:color w:val="000000"/>
          <w:sz w:val="22"/>
          <w:szCs w:val="22"/>
        </w:rPr>
        <w:t xml:space="preserve">) (b) of the Local Government Pension Scheme (Management and Investment of Funds) Regulations </w:t>
      </w:r>
      <w:r w:rsidRPr="00F83792">
        <w:rPr>
          <w:rFonts w:ascii="Arial" w:eastAsia="Arial Unicode MS" w:hAnsi="Arial" w:cs="Arial"/>
          <w:color w:val="000000"/>
          <w:sz w:val="22"/>
          <w:szCs w:val="22"/>
        </w:rPr>
        <w:t xml:space="preserve">2016 </w:t>
      </w:r>
      <w:r w:rsidRPr="00F83792">
        <w:rPr>
          <w:rFonts w:ascii="Arial" w:eastAsia="Arial Unicode MS" w:hAnsi="Arial" w:cs="Arial"/>
          <w:color w:val="000000"/>
          <w:sz w:val="22"/>
          <w:szCs w:val="22"/>
        </w:rPr>
        <w:t xml:space="preserve">but are disclosed as a note only (note </w:t>
      </w:r>
      <w:r>
        <w:rPr>
          <w:rFonts w:ascii="Arial" w:eastAsia="Arial Unicode MS" w:hAnsi="Arial" w:cs="Arial"/>
          <w:color w:val="000000"/>
          <w:sz w:val="22"/>
          <w:szCs w:val="22"/>
        </w:rPr>
        <w:t>19</w:t>
      </w:r>
      <w:r w:rsidRPr="00F83792">
        <w:rPr>
          <w:rFonts w:ascii="Arial" w:eastAsia="Arial Unicode MS" w:hAnsi="Arial" w:cs="Arial"/>
          <w:color w:val="000000"/>
          <w:sz w:val="22"/>
          <w:szCs w:val="22"/>
        </w:rPr>
        <w:t>).</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left" w:pos="927"/>
        </w:tabs>
        <w:ind w:left="567" w:hanging="567"/>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3.3.</w:t>
      </w:r>
      <w:r>
        <w:rPr>
          <w:rFonts w:ascii="Arial" w:eastAsia="Arial Unicode MS" w:hAnsi="Arial" w:cs="Arial"/>
          <w:b/>
          <w:color w:val="000000"/>
          <w:sz w:val="32"/>
          <w:szCs w:val="22"/>
        </w:rPr>
        <w:t>9</w:t>
      </w:r>
      <w:r w:rsidRPr="00F83792">
        <w:rPr>
          <w:rFonts w:ascii="Arial" w:eastAsia="Arial Unicode MS" w:hAnsi="Arial" w:cs="Arial"/>
          <w:b/>
          <w:color w:val="000000"/>
          <w:sz w:val="32"/>
          <w:szCs w:val="22"/>
        </w:rPr>
        <w:t xml:space="preserve"> </w:t>
      </w:r>
      <w:r w:rsidRPr="00F83792">
        <w:rPr>
          <w:rFonts w:ascii="Arial" w:eastAsia="Arial Unicode MS" w:hAnsi="Arial" w:cs="Arial"/>
          <w:b/>
          <w:color w:val="000000"/>
          <w:sz w:val="32"/>
          <w:szCs w:val="22"/>
        </w:rPr>
        <w:t>Securities lending</w:t>
      </w:r>
    </w:p>
    <w:p w:rsidR="00DC78E9" w:rsidRPr="00F83792" w:rsidRDefault="00E56C9A" w:rsidP="00DC78E9">
      <w:pPr>
        <w:tabs>
          <w:tab w:val="left" w:pos="567"/>
        </w:tabs>
        <w:autoSpaceDE w:val="0"/>
        <w:autoSpaceDN w:val="0"/>
        <w:adjustRightInd w:val="0"/>
        <w:ind w:left="567"/>
        <w:contextualSpacing/>
        <w:jc w:val="both"/>
        <w:rPr>
          <w:rFonts w:ascii="Arial" w:eastAsia="Arial Unicode MS" w:hAnsi="Arial" w:cs="Arial"/>
          <w:b/>
          <w:color w:val="000000"/>
          <w:sz w:val="22"/>
          <w:szCs w:val="22"/>
        </w:rPr>
      </w:pPr>
    </w:p>
    <w:p w:rsidR="006E4D34" w:rsidRDefault="00E56C9A" w:rsidP="006E4D34">
      <w:pPr>
        <w:tabs>
          <w:tab w:val="left" w:pos="1080"/>
        </w:tabs>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t xml:space="preserve">During the year, all equities were transitioned into the LPP Global Equities Pool.  Securities lending by Northern Trust, the Fund's custodian, effectively ended on transition.  Until this date, Northern Trust were authorised to </w:t>
      </w:r>
      <w:r>
        <w:rPr>
          <w:rFonts w:ascii="Arial" w:eastAsia="Arial Unicode MS" w:hAnsi="Arial" w:cs="Arial"/>
          <w:color w:val="000000"/>
          <w:sz w:val="22"/>
          <w:szCs w:val="22"/>
        </w:rPr>
        <w:t>release stock to a third party under stock lending arrangements up to the statutory limits for this activity.</w:t>
      </w:r>
    </w:p>
    <w:p w:rsidR="006E4D34" w:rsidRDefault="00E56C9A" w:rsidP="006E4D34">
      <w:pPr>
        <w:tabs>
          <w:tab w:val="left" w:pos="1080"/>
        </w:tabs>
        <w:autoSpaceDE w:val="0"/>
        <w:autoSpaceDN w:val="0"/>
        <w:adjustRightInd w:val="0"/>
        <w:jc w:val="both"/>
        <w:rPr>
          <w:rFonts w:ascii="Arial" w:eastAsia="Arial Unicode MS" w:hAnsi="Arial" w:cs="Arial"/>
          <w:color w:val="000000"/>
          <w:sz w:val="22"/>
          <w:szCs w:val="22"/>
        </w:rPr>
      </w:pPr>
    </w:p>
    <w:p w:rsidR="006E4D34" w:rsidRPr="00F83792" w:rsidRDefault="00E56C9A" w:rsidP="006E4D34">
      <w:pPr>
        <w:tabs>
          <w:tab w:val="left" w:pos="567"/>
        </w:tabs>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t>Any income from securities lending within the LPP Global Equities Pool will be reinvested within the pool.</w:t>
      </w:r>
    </w:p>
    <w:p w:rsidR="006E4D34" w:rsidRDefault="00E56C9A" w:rsidP="006E4D34">
      <w:pPr>
        <w:tabs>
          <w:tab w:val="left" w:pos="1080"/>
        </w:tabs>
        <w:autoSpaceDE w:val="0"/>
        <w:autoSpaceDN w:val="0"/>
        <w:adjustRightInd w:val="0"/>
        <w:jc w:val="both"/>
        <w:rPr>
          <w:rFonts w:ascii="Arial" w:eastAsia="Arial Unicode MS" w:hAnsi="Arial" w:cs="Arial"/>
          <w:color w:val="000000"/>
          <w:sz w:val="22"/>
          <w:szCs w:val="22"/>
        </w:rPr>
      </w:pPr>
    </w:p>
    <w:p w:rsidR="006E4D34" w:rsidRDefault="00E56C9A" w:rsidP="006E4D34">
      <w:pPr>
        <w:tabs>
          <w:tab w:val="left" w:pos="1080"/>
        </w:tabs>
        <w:autoSpaceDE w:val="0"/>
        <w:autoSpaceDN w:val="0"/>
        <w:adjustRightInd w:val="0"/>
        <w:jc w:val="both"/>
        <w:rPr>
          <w:rFonts w:ascii="Arial" w:eastAsia="Arial Unicode MS" w:hAnsi="Arial" w:cs="Arial"/>
          <w:color w:val="000000"/>
          <w:sz w:val="22"/>
          <w:szCs w:val="22"/>
        </w:rPr>
      </w:pPr>
    </w:p>
    <w:p w:rsidR="006E4D34" w:rsidRDefault="00E56C9A" w:rsidP="00CE3EFA">
      <w:pPr>
        <w:tabs>
          <w:tab w:val="left" w:pos="1080"/>
        </w:tabs>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t xml:space="preserve">Note </w:t>
      </w:r>
      <w:r>
        <w:rPr>
          <w:rFonts w:ascii="Arial" w:eastAsia="Arial Unicode MS" w:hAnsi="Arial" w:cs="Arial"/>
          <w:color w:val="000000"/>
          <w:sz w:val="22"/>
          <w:szCs w:val="22"/>
        </w:rPr>
        <w:t xml:space="preserve">13 </w:t>
      </w:r>
      <w:r>
        <w:rPr>
          <w:rFonts w:ascii="Arial" w:eastAsia="Arial Unicode MS" w:hAnsi="Arial" w:cs="Arial"/>
          <w:color w:val="000000"/>
          <w:sz w:val="22"/>
          <w:szCs w:val="22"/>
        </w:rPr>
        <w:t xml:space="preserve">provides details of stock </w:t>
      </w:r>
      <w:r>
        <w:rPr>
          <w:rFonts w:ascii="Arial" w:eastAsia="Arial Unicode MS" w:hAnsi="Arial" w:cs="Arial"/>
          <w:color w:val="000000"/>
          <w:sz w:val="22"/>
          <w:szCs w:val="22"/>
        </w:rPr>
        <w:t>lending income and average on loan value during the period to transition of equities.</w:t>
      </w:r>
    </w:p>
    <w:p w:rsidR="006E4D34" w:rsidRDefault="00E56C9A" w:rsidP="00CE3EFA">
      <w:pPr>
        <w:tabs>
          <w:tab w:val="left" w:pos="1080"/>
        </w:tabs>
        <w:autoSpaceDE w:val="0"/>
        <w:autoSpaceDN w:val="0"/>
        <w:adjustRightInd w:val="0"/>
        <w:jc w:val="both"/>
        <w:rPr>
          <w:rFonts w:ascii="Arial" w:eastAsia="Arial Unicode MS" w:hAnsi="Arial" w:cs="Arial"/>
          <w:color w:val="000000"/>
          <w:sz w:val="22"/>
          <w:szCs w:val="22"/>
        </w:rPr>
      </w:pPr>
    </w:p>
    <w:p w:rsidR="00BD1CDE"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p>
    <w:p w:rsidR="00DC78E9" w:rsidRPr="00F83792" w:rsidRDefault="00E56C9A" w:rsidP="00DC78E9">
      <w:pPr>
        <w:tabs>
          <w:tab w:val="left"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960119">
      <w:pPr>
        <w:pStyle w:val="ListParagraph"/>
        <w:numPr>
          <w:ilvl w:val="0"/>
          <w:numId w:val="6"/>
        </w:numPr>
        <w:tabs>
          <w:tab w:val="left" w:pos="927"/>
        </w:tabs>
        <w:contextualSpacing/>
        <w:rPr>
          <w:rFonts w:ascii="Arial" w:eastAsia="Arial Unicode MS" w:hAnsi="Arial" w:cs="Arial"/>
          <w:b/>
          <w:color w:val="000000"/>
          <w:sz w:val="32"/>
          <w:szCs w:val="22"/>
        </w:rPr>
      </w:pPr>
      <w:r w:rsidRPr="00F83792">
        <w:rPr>
          <w:rFonts w:ascii="Arial" w:eastAsia="Arial Unicode MS" w:hAnsi="Arial" w:cs="Arial"/>
          <w:b/>
          <w:color w:val="000000"/>
          <w:sz w:val="32"/>
          <w:szCs w:val="22"/>
        </w:rPr>
        <w:t>CRITICAL JUDGEMENTS IN APPLYING ACCOUNTING POLICIES</w:t>
      </w:r>
    </w:p>
    <w:p w:rsidR="00DC78E9" w:rsidRPr="00F83792" w:rsidRDefault="00E56C9A" w:rsidP="00DC78E9">
      <w:pPr>
        <w:tabs>
          <w:tab w:val="left" w:pos="927"/>
        </w:tabs>
        <w:ind w:left="567" w:hanging="567"/>
        <w:contextualSpacing/>
        <w:jc w:val="both"/>
        <w:rPr>
          <w:rFonts w:ascii="Arial" w:eastAsia="Arial Unicode MS" w:hAnsi="Arial" w:cs="Arial"/>
          <w:b/>
          <w:color w:val="000000"/>
          <w:sz w:val="32"/>
          <w:szCs w:val="22"/>
        </w:rPr>
      </w:pPr>
    </w:p>
    <w:p w:rsidR="00DC78E9" w:rsidRPr="00F83792" w:rsidRDefault="00E56C9A" w:rsidP="00DC78E9">
      <w:pPr>
        <w:tabs>
          <w:tab w:val="left" w:pos="927"/>
        </w:tabs>
        <w:ind w:left="567" w:hanging="567"/>
        <w:contextualSpacing/>
        <w:jc w:val="both"/>
        <w:rPr>
          <w:rFonts w:ascii="Arial" w:eastAsia="Arial Unicode MS" w:hAnsi="Arial" w:cs="Arial"/>
          <w:b/>
          <w:color w:val="000000"/>
          <w:sz w:val="32"/>
          <w:szCs w:val="22"/>
        </w:rPr>
      </w:pPr>
      <w:bookmarkStart w:id="3" w:name="Note1"/>
      <w:bookmarkEnd w:id="3"/>
      <w:r w:rsidRPr="00F83792">
        <w:rPr>
          <w:rFonts w:ascii="Arial" w:eastAsia="Arial Unicode MS" w:hAnsi="Arial" w:cs="Arial"/>
          <w:b/>
          <w:color w:val="000000"/>
          <w:sz w:val="32"/>
          <w:szCs w:val="22"/>
        </w:rPr>
        <w:t>4.1 Unquoted private equity and infrastructure investments</w:t>
      </w: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lastRenderedPageBreak/>
        <w:t>It is important to recognise the highly subjective nat</w:t>
      </w:r>
      <w:r w:rsidRPr="00F83792">
        <w:rPr>
          <w:rFonts w:ascii="Arial" w:eastAsia="Arial Unicode MS" w:hAnsi="Arial" w:cs="Arial"/>
          <w:color w:val="000000"/>
          <w:sz w:val="22"/>
          <w:szCs w:val="22"/>
        </w:rPr>
        <w:t>ure of determining the fair value of private equity and infrastructure investments.  They are inherently based on forward looking estimates and judgements involving many factors.  Unquoted private equities and infrastructure investments are valued by the i</w:t>
      </w:r>
      <w:r w:rsidRPr="00F83792">
        <w:rPr>
          <w:rFonts w:ascii="Arial" w:eastAsia="Arial Unicode MS" w:hAnsi="Arial" w:cs="Arial"/>
          <w:color w:val="000000"/>
          <w:sz w:val="22"/>
          <w:szCs w:val="22"/>
        </w:rPr>
        <w:t>nvestment managers using the International Private Equity and Venture Capital Valuation Guidelines 2012.</w:t>
      </w:r>
    </w:p>
    <w:p w:rsidR="00DC78E9" w:rsidRPr="00F83792" w:rsidRDefault="00E56C9A" w:rsidP="00DC78E9">
      <w:pPr>
        <w:tabs>
          <w:tab w:val="left" w:pos="567"/>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left" w:pos="567"/>
        </w:tabs>
        <w:autoSpaceDE w:val="0"/>
        <w:autoSpaceDN w:val="0"/>
        <w:adjustRightInd w:val="0"/>
        <w:ind w:left="567" w:hanging="567"/>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4.2   Pension Fund liability</w:t>
      </w: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p>
    <w:p w:rsidR="00DC78E9" w:rsidRPr="00F83792" w:rsidRDefault="00E56C9A" w:rsidP="00DC78E9">
      <w:pPr>
        <w:tabs>
          <w:tab w:val="left" w:pos="567"/>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The Pension Fund liability is calculated every three years by the appointed actuary, with annual updates in the interven</w:t>
      </w:r>
      <w:r w:rsidRPr="00F83792">
        <w:rPr>
          <w:rFonts w:ascii="Arial" w:eastAsia="Arial Unicode MS" w:hAnsi="Arial" w:cs="Arial"/>
          <w:color w:val="000000"/>
          <w:sz w:val="22"/>
          <w:szCs w:val="22"/>
        </w:rPr>
        <w:t xml:space="preserve">ing years.  The methodology used is in line with accepted guidelines and in accordance with IAS19.  Assumptions underpinning the valuations are agreed with the actuary and are summarised in note </w:t>
      </w:r>
      <w:r w:rsidRPr="00F83792">
        <w:rPr>
          <w:rFonts w:ascii="Arial" w:eastAsia="Arial Unicode MS" w:hAnsi="Arial" w:cs="Arial"/>
          <w:color w:val="000000"/>
          <w:sz w:val="22"/>
          <w:szCs w:val="22"/>
        </w:rPr>
        <w:t>2</w:t>
      </w:r>
      <w:r>
        <w:rPr>
          <w:rFonts w:ascii="Arial" w:eastAsia="Arial Unicode MS" w:hAnsi="Arial" w:cs="Arial"/>
          <w:color w:val="000000"/>
          <w:sz w:val="22"/>
          <w:szCs w:val="22"/>
        </w:rPr>
        <w:t>6</w:t>
      </w:r>
      <w:r w:rsidRPr="00F83792">
        <w:rPr>
          <w:rFonts w:ascii="Arial" w:eastAsia="Arial Unicode MS" w:hAnsi="Arial" w:cs="Arial"/>
          <w:color w:val="000000"/>
          <w:sz w:val="22"/>
          <w:szCs w:val="22"/>
        </w:rPr>
        <w:t xml:space="preserve">.  This estimate is subject to significant variances based </w:t>
      </w:r>
      <w:r w:rsidRPr="00F83792">
        <w:rPr>
          <w:rFonts w:ascii="Arial" w:eastAsia="Arial Unicode MS" w:hAnsi="Arial" w:cs="Arial"/>
          <w:color w:val="000000"/>
          <w:sz w:val="22"/>
          <w:szCs w:val="22"/>
        </w:rPr>
        <w:t>on changes to the underlying assumptions.</w:t>
      </w:r>
    </w:p>
    <w:p w:rsidR="00DC78E9" w:rsidRPr="00F83792" w:rsidRDefault="00E56C9A" w:rsidP="00DC78E9">
      <w:pPr>
        <w:autoSpaceDE w:val="0"/>
        <w:autoSpaceDN w:val="0"/>
        <w:adjustRightInd w:val="0"/>
        <w:jc w:val="both"/>
        <w:rPr>
          <w:rFonts w:ascii="Arial" w:eastAsia="Arial Unicode MS" w:hAnsi="Arial" w:cs="Arial"/>
          <w:color w:val="000000"/>
          <w:sz w:val="22"/>
          <w:szCs w:val="22"/>
          <w:lang w:eastAsia="en-GB"/>
        </w:rPr>
      </w:pPr>
    </w:p>
    <w:p w:rsidR="00DC78E9" w:rsidRPr="00F83792" w:rsidRDefault="00E56C9A" w:rsidP="00960119">
      <w:pPr>
        <w:numPr>
          <w:ilvl w:val="0"/>
          <w:numId w:val="7"/>
        </w:numPr>
        <w:tabs>
          <w:tab w:val="num" w:pos="567"/>
        </w:tabs>
        <w:autoSpaceDE w:val="0"/>
        <w:autoSpaceDN w:val="0"/>
        <w:adjustRightInd w:val="0"/>
        <w:ind w:left="567" w:hanging="567"/>
        <w:rPr>
          <w:rFonts w:ascii="Arial" w:eastAsia="Arial Unicode MS" w:hAnsi="Arial" w:cs="Arial"/>
          <w:b/>
          <w:color w:val="000000"/>
          <w:sz w:val="32"/>
          <w:szCs w:val="22"/>
        </w:rPr>
      </w:pPr>
      <w:r w:rsidRPr="00F83792">
        <w:rPr>
          <w:rFonts w:ascii="Arial" w:eastAsia="Arial Unicode MS" w:hAnsi="Arial" w:cs="Arial"/>
          <w:b/>
          <w:color w:val="000000"/>
          <w:sz w:val="32"/>
          <w:szCs w:val="22"/>
        </w:rPr>
        <w:t>ASSUMPTIONS MADE ABOUT THE FUTURE AND OTHER MAJOR SOURCES OF ESTIMATION UNCERTAINTY</w:t>
      </w:r>
    </w:p>
    <w:p w:rsidR="00DC78E9" w:rsidRPr="00F83792" w:rsidRDefault="00E56C9A" w:rsidP="00DC78E9">
      <w:pPr>
        <w:tabs>
          <w:tab w:val="left" w:pos="709"/>
        </w:tabs>
        <w:autoSpaceDE w:val="0"/>
        <w:autoSpaceDN w:val="0"/>
        <w:adjustRightInd w:val="0"/>
        <w:ind w:left="567"/>
        <w:jc w:val="both"/>
        <w:rPr>
          <w:rFonts w:ascii="Arial" w:eastAsia="Arial Unicode MS" w:hAnsi="Arial" w:cs="Arial"/>
          <w:color w:val="000000"/>
          <w:sz w:val="22"/>
          <w:szCs w:val="22"/>
        </w:rPr>
      </w:pPr>
    </w:p>
    <w:p w:rsidR="00DC78E9" w:rsidRPr="00F83792" w:rsidRDefault="00E56C9A" w:rsidP="00DC78E9">
      <w:pPr>
        <w:tabs>
          <w:tab w:val="left" w:pos="709"/>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 xml:space="preserve">The preparation of financial statements requires management to make judgements, estimates and assumptions that affect the </w:t>
      </w:r>
      <w:r w:rsidRPr="00F83792">
        <w:rPr>
          <w:rFonts w:ascii="Arial" w:eastAsia="Arial Unicode MS" w:hAnsi="Arial" w:cs="Arial"/>
          <w:color w:val="000000"/>
          <w:sz w:val="22"/>
          <w:szCs w:val="22"/>
        </w:rPr>
        <w:t>amounts reported for assets and liabilities at the net assets statement date and the amounts reported for the revenues and expenses during the year. Estimates and assumptions are made taking into account historical experience, current trends and other rele</w:t>
      </w:r>
      <w:r w:rsidRPr="00F83792">
        <w:rPr>
          <w:rFonts w:ascii="Arial" w:eastAsia="Arial Unicode MS" w:hAnsi="Arial" w:cs="Arial"/>
          <w:color w:val="000000"/>
          <w:sz w:val="22"/>
          <w:szCs w:val="22"/>
        </w:rPr>
        <w:t>vant factors.  However, the nature of estimation means that actual outcomes could be materially different from the assumptions and estimates.</w:t>
      </w:r>
    </w:p>
    <w:p w:rsidR="00DC78E9" w:rsidRPr="00F83792" w:rsidRDefault="00E56C9A" w:rsidP="00DC78E9">
      <w:pPr>
        <w:tabs>
          <w:tab w:val="left" w:pos="851"/>
        </w:tabs>
        <w:autoSpaceDE w:val="0"/>
        <w:autoSpaceDN w:val="0"/>
        <w:adjustRightInd w:val="0"/>
        <w:jc w:val="both"/>
        <w:rPr>
          <w:rFonts w:ascii="Arial" w:eastAsia="Arial Unicode MS" w:hAnsi="Arial" w:cs="Arial"/>
          <w:color w:val="000000"/>
          <w:sz w:val="22"/>
          <w:szCs w:val="22"/>
        </w:rPr>
      </w:pPr>
    </w:p>
    <w:p w:rsidR="00DC78E9" w:rsidRPr="00F83792" w:rsidRDefault="00E56C9A" w:rsidP="00DC78E9">
      <w:pPr>
        <w:tabs>
          <w:tab w:val="left" w:pos="851"/>
        </w:tabs>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The items in the net assets statement at 31 March 2017 for which there is a significant risk of material adjustme</w:t>
      </w:r>
      <w:r w:rsidRPr="00F83792">
        <w:rPr>
          <w:rFonts w:ascii="Arial" w:eastAsia="Arial Unicode MS" w:hAnsi="Arial" w:cs="Arial"/>
          <w:color w:val="000000"/>
          <w:sz w:val="22"/>
          <w:szCs w:val="22"/>
        </w:rPr>
        <w:t>nt in the forthcoming year are as follows:</w:t>
      </w:r>
    </w:p>
    <w:p w:rsidR="00DC78E9" w:rsidRPr="00F83792" w:rsidRDefault="00E56C9A" w:rsidP="00DC78E9">
      <w:pPr>
        <w:tabs>
          <w:tab w:val="left" w:pos="851"/>
        </w:tabs>
        <w:autoSpaceDE w:val="0"/>
        <w:autoSpaceDN w:val="0"/>
        <w:adjustRightInd w:val="0"/>
        <w:ind w:left="567"/>
        <w:jc w:val="both"/>
        <w:rPr>
          <w:rFonts w:ascii="Arial" w:eastAsia="Arial Unicode MS" w:hAnsi="Arial" w:cs="Arial"/>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1843"/>
        <w:gridCol w:w="3898"/>
        <w:gridCol w:w="3898"/>
      </w:tblGrid>
      <w:tr w:rsidR="00B368D6" w:rsidTr="00105290">
        <w:tc>
          <w:tcPr>
            <w:tcW w:w="1843" w:type="dxa"/>
            <w:shd w:val="clear" w:color="auto" w:fill="E7E6E6" w:themeFill="background2"/>
          </w:tcPr>
          <w:p w:rsidR="00DC78E9" w:rsidRPr="00F83792" w:rsidRDefault="00E56C9A" w:rsidP="00105290">
            <w:pPr>
              <w:autoSpaceDE w:val="0"/>
              <w:autoSpaceDN w:val="0"/>
              <w:adjustRightInd w:val="0"/>
              <w:jc w:val="both"/>
              <w:rPr>
                <w:rFonts w:ascii="Arial" w:eastAsia="Arial Unicode MS" w:hAnsi="Arial" w:cs="Arial"/>
                <w:b/>
                <w:color w:val="000000"/>
                <w:sz w:val="22"/>
                <w:szCs w:val="22"/>
              </w:rPr>
            </w:pPr>
            <w:r w:rsidRPr="00F83792">
              <w:rPr>
                <w:rFonts w:ascii="Arial" w:eastAsia="Arial Unicode MS" w:hAnsi="Arial" w:cs="Arial"/>
                <w:b/>
                <w:color w:val="000000"/>
                <w:sz w:val="22"/>
                <w:szCs w:val="22"/>
              </w:rPr>
              <w:t>Item</w:t>
            </w:r>
          </w:p>
        </w:tc>
        <w:tc>
          <w:tcPr>
            <w:tcW w:w="3898" w:type="dxa"/>
            <w:shd w:val="clear" w:color="auto" w:fill="E7E6E6" w:themeFill="background2"/>
          </w:tcPr>
          <w:p w:rsidR="00DC78E9" w:rsidRPr="00F83792" w:rsidRDefault="00E56C9A" w:rsidP="00105290">
            <w:pPr>
              <w:autoSpaceDE w:val="0"/>
              <w:autoSpaceDN w:val="0"/>
              <w:adjustRightInd w:val="0"/>
              <w:jc w:val="both"/>
              <w:rPr>
                <w:rFonts w:ascii="Arial" w:eastAsia="Arial Unicode MS" w:hAnsi="Arial" w:cs="Arial"/>
                <w:b/>
                <w:color w:val="000000"/>
                <w:sz w:val="22"/>
                <w:szCs w:val="22"/>
              </w:rPr>
            </w:pPr>
            <w:r w:rsidRPr="00F83792">
              <w:rPr>
                <w:rFonts w:ascii="Arial" w:eastAsia="Arial Unicode MS" w:hAnsi="Arial" w:cs="Arial"/>
                <w:b/>
                <w:color w:val="000000"/>
                <w:sz w:val="22"/>
                <w:szCs w:val="22"/>
              </w:rPr>
              <w:t>Uncertainties</w:t>
            </w:r>
          </w:p>
        </w:tc>
        <w:tc>
          <w:tcPr>
            <w:tcW w:w="3898" w:type="dxa"/>
            <w:shd w:val="clear" w:color="auto" w:fill="E7E6E6" w:themeFill="background2"/>
          </w:tcPr>
          <w:p w:rsidR="00DC78E9" w:rsidRPr="00F83792" w:rsidRDefault="00E56C9A" w:rsidP="00105290">
            <w:pPr>
              <w:autoSpaceDE w:val="0"/>
              <w:autoSpaceDN w:val="0"/>
              <w:adjustRightInd w:val="0"/>
              <w:jc w:val="both"/>
              <w:rPr>
                <w:rFonts w:ascii="Arial" w:eastAsia="Arial Unicode MS" w:hAnsi="Arial" w:cs="Arial"/>
                <w:b/>
                <w:color w:val="000000"/>
                <w:sz w:val="22"/>
                <w:szCs w:val="22"/>
              </w:rPr>
            </w:pPr>
            <w:r w:rsidRPr="00F83792">
              <w:rPr>
                <w:rFonts w:ascii="Arial" w:eastAsia="Arial Unicode MS" w:hAnsi="Arial" w:cs="Arial"/>
                <w:b/>
                <w:color w:val="000000"/>
                <w:sz w:val="22"/>
                <w:szCs w:val="22"/>
              </w:rPr>
              <w:t>Impact if actual results differ from assumptions</w:t>
            </w:r>
          </w:p>
        </w:tc>
      </w:tr>
      <w:tr w:rsidR="00B368D6" w:rsidTr="00105290">
        <w:trPr>
          <w:trHeight w:val="1855"/>
        </w:trPr>
        <w:tc>
          <w:tcPr>
            <w:tcW w:w="1843" w:type="dxa"/>
            <w:shd w:val="clear" w:color="auto" w:fill="auto"/>
          </w:tcPr>
          <w:p w:rsidR="00DC78E9" w:rsidRPr="00F83792" w:rsidRDefault="00E56C9A" w:rsidP="00105290">
            <w:pPr>
              <w:autoSpaceDE w:val="0"/>
              <w:autoSpaceDN w:val="0"/>
              <w:adjustRightInd w:val="0"/>
              <w:rPr>
                <w:rFonts w:ascii="Arial" w:eastAsia="Arial Unicode MS" w:hAnsi="Arial" w:cs="Arial"/>
                <w:color w:val="000000"/>
                <w:sz w:val="20"/>
                <w:szCs w:val="22"/>
              </w:rPr>
            </w:pPr>
            <w:r w:rsidRPr="00F83792">
              <w:rPr>
                <w:rFonts w:ascii="Arial" w:eastAsia="Arial Unicode MS" w:hAnsi="Arial" w:cs="Arial"/>
                <w:color w:val="000000"/>
                <w:sz w:val="20"/>
                <w:szCs w:val="22"/>
              </w:rPr>
              <w:t>Private equity and infrastructure investments</w:t>
            </w:r>
          </w:p>
          <w:p w:rsidR="00DC78E9" w:rsidRPr="00F83792" w:rsidRDefault="00E56C9A" w:rsidP="00105290">
            <w:pPr>
              <w:autoSpaceDE w:val="0"/>
              <w:autoSpaceDN w:val="0"/>
              <w:adjustRightInd w:val="0"/>
              <w:rPr>
                <w:rFonts w:ascii="Arial" w:eastAsia="Arial Unicode MS" w:hAnsi="Arial" w:cs="Arial"/>
                <w:color w:val="000000"/>
                <w:sz w:val="20"/>
                <w:szCs w:val="22"/>
              </w:rPr>
            </w:pPr>
          </w:p>
        </w:tc>
        <w:tc>
          <w:tcPr>
            <w:tcW w:w="3898" w:type="dxa"/>
            <w:shd w:val="clear" w:color="auto" w:fill="auto"/>
          </w:tcPr>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 xml:space="preserve">Private equity and infrastructure investments are valued at fair value in accordance with the </w:t>
            </w:r>
            <w:r w:rsidRPr="00F83792">
              <w:rPr>
                <w:rFonts w:ascii="Arial" w:eastAsia="Arial Unicode MS" w:hAnsi="Arial" w:cs="Arial"/>
                <w:color w:val="000000"/>
                <w:sz w:val="20"/>
                <w:szCs w:val="22"/>
              </w:rPr>
              <w:t>International Private Equity and Venture Capital Valuation Guidelines 2012 or equivalent. These investments are not publicly listed and as such there is a degree of estimation involved in the valuation.</w:t>
            </w:r>
          </w:p>
        </w:tc>
        <w:tc>
          <w:tcPr>
            <w:tcW w:w="3898" w:type="dxa"/>
            <w:shd w:val="clear" w:color="auto" w:fill="auto"/>
          </w:tcPr>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The market value of private equity and infrastructure</w:t>
            </w:r>
            <w:r w:rsidRPr="00F83792">
              <w:rPr>
                <w:rFonts w:ascii="Arial" w:eastAsia="Arial Unicode MS" w:hAnsi="Arial" w:cs="Arial"/>
                <w:color w:val="000000"/>
                <w:sz w:val="20"/>
                <w:szCs w:val="22"/>
              </w:rPr>
              <w:t xml:space="preserve"> investments in the financial statements totals £</w:t>
            </w:r>
            <w:r w:rsidRPr="00F83792">
              <w:rPr>
                <w:rFonts w:ascii="Arial" w:eastAsia="Arial Unicode MS" w:hAnsi="Arial" w:cs="Arial"/>
                <w:color w:val="000000"/>
                <w:sz w:val="20"/>
                <w:szCs w:val="22"/>
              </w:rPr>
              <w:t>1,421.8</w:t>
            </w:r>
            <w:r w:rsidRPr="00F83792">
              <w:rPr>
                <w:rFonts w:ascii="Arial" w:eastAsia="Arial Unicode MS" w:hAnsi="Arial" w:cs="Arial"/>
                <w:color w:val="000000"/>
                <w:sz w:val="20"/>
                <w:szCs w:val="22"/>
              </w:rPr>
              <w:t xml:space="preserve"> m.</w:t>
            </w:r>
          </w:p>
          <w:p w:rsidR="00DC78E9" w:rsidRPr="00F83792" w:rsidRDefault="00E56C9A" w:rsidP="00105290">
            <w:pPr>
              <w:autoSpaceDE w:val="0"/>
              <w:autoSpaceDN w:val="0"/>
              <w:adjustRightInd w:val="0"/>
              <w:jc w:val="both"/>
              <w:rPr>
                <w:rFonts w:ascii="Arial" w:eastAsia="Arial Unicode MS" w:hAnsi="Arial" w:cs="Arial"/>
                <w:color w:val="000000"/>
                <w:sz w:val="20"/>
                <w:szCs w:val="22"/>
              </w:rPr>
            </w:pPr>
          </w:p>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There is a risk that these investments might be under or overstated in the accounts.</w:t>
            </w:r>
          </w:p>
        </w:tc>
      </w:tr>
      <w:tr w:rsidR="00B368D6" w:rsidTr="00105290">
        <w:trPr>
          <w:trHeight w:val="1431"/>
        </w:trPr>
        <w:tc>
          <w:tcPr>
            <w:tcW w:w="1843" w:type="dxa"/>
            <w:shd w:val="clear" w:color="auto" w:fill="auto"/>
          </w:tcPr>
          <w:p w:rsidR="00DC78E9" w:rsidRPr="00F83792" w:rsidRDefault="00E56C9A" w:rsidP="00105290">
            <w:pPr>
              <w:autoSpaceDE w:val="0"/>
              <w:autoSpaceDN w:val="0"/>
              <w:adjustRightInd w:val="0"/>
              <w:rPr>
                <w:rFonts w:ascii="Arial" w:eastAsia="Arial Unicode MS" w:hAnsi="Arial" w:cs="Arial"/>
                <w:color w:val="000000"/>
                <w:sz w:val="20"/>
                <w:szCs w:val="22"/>
              </w:rPr>
            </w:pPr>
            <w:r w:rsidRPr="00F83792">
              <w:rPr>
                <w:rFonts w:ascii="Arial" w:eastAsia="Arial Unicode MS" w:hAnsi="Arial" w:cs="Arial"/>
                <w:color w:val="000000"/>
                <w:sz w:val="20"/>
                <w:szCs w:val="22"/>
              </w:rPr>
              <w:t>Long-term credit investments</w:t>
            </w:r>
          </w:p>
        </w:tc>
        <w:tc>
          <w:tcPr>
            <w:tcW w:w="3898" w:type="dxa"/>
            <w:shd w:val="clear" w:color="auto" w:fill="auto"/>
          </w:tcPr>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 xml:space="preserve">Long-term credit investments are valued as the Fund's percentage share of the </w:t>
            </w:r>
            <w:r w:rsidRPr="00F83792">
              <w:rPr>
                <w:rFonts w:ascii="Arial" w:eastAsia="Arial Unicode MS" w:hAnsi="Arial" w:cs="Arial"/>
                <w:color w:val="000000"/>
                <w:sz w:val="20"/>
                <w:szCs w:val="22"/>
              </w:rPr>
              <w:t>independently audited Net Asset Value of each individual strategy as provided by the relevant manager.  In some cases the underlying investments will comprise level three assets whose valuations involve a degree of management judgement.</w:t>
            </w:r>
          </w:p>
        </w:tc>
        <w:tc>
          <w:tcPr>
            <w:tcW w:w="3898" w:type="dxa"/>
            <w:shd w:val="clear" w:color="auto" w:fill="auto"/>
          </w:tcPr>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The market value of</w:t>
            </w:r>
            <w:r w:rsidRPr="00F83792">
              <w:rPr>
                <w:rFonts w:ascii="Arial" w:eastAsia="Arial Unicode MS" w:hAnsi="Arial" w:cs="Arial"/>
                <w:color w:val="000000"/>
                <w:sz w:val="20"/>
                <w:szCs w:val="22"/>
              </w:rPr>
              <w:t xml:space="preserve"> long-term credit investments in the financial statements</w:t>
            </w:r>
            <w:r>
              <w:rPr>
                <w:rFonts w:ascii="Arial" w:eastAsia="Arial Unicode MS" w:hAnsi="Arial" w:cs="Arial"/>
                <w:color w:val="000000"/>
                <w:sz w:val="20"/>
                <w:szCs w:val="22"/>
              </w:rPr>
              <w:t xml:space="preserve"> (excluding the loan to </w:t>
            </w:r>
            <w:proofErr w:type="spellStart"/>
            <w:r>
              <w:rPr>
                <w:rFonts w:ascii="Arial" w:eastAsia="Arial Unicode MS" w:hAnsi="Arial" w:cs="Arial"/>
                <w:color w:val="000000"/>
                <w:sz w:val="20"/>
                <w:szCs w:val="22"/>
              </w:rPr>
              <w:t>Heylo</w:t>
            </w:r>
            <w:proofErr w:type="spellEnd"/>
            <w:r>
              <w:rPr>
                <w:rFonts w:ascii="Arial" w:eastAsia="Arial Unicode MS" w:hAnsi="Arial" w:cs="Arial"/>
                <w:color w:val="000000"/>
                <w:sz w:val="20"/>
                <w:szCs w:val="22"/>
              </w:rPr>
              <w:t xml:space="preserve"> Housing listed separately below)</w:t>
            </w:r>
            <w:r w:rsidRPr="00F83792">
              <w:rPr>
                <w:rFonts w:ascii="Arial" w:eastAsia="Arial Unicode MS" w:hAnsi="Arial" w:cs="Arial"/>
                <w:color w:val="000000"/>
                <w:sz w:val="20"/>
                <w:szCs w:val="22"/>
              </w:rPr>
              <w:t xml:space="preserve"> totals £</w:t>
            </w:r>
            <w:r w:rsidRPr="00F83792">
              <w:rPr>
                <w:rFonts w:ascii="Arial" w:eastAsia="Arial Unicode MS" w:hAnsi="Arial" w:cs="Arial"/>
                <w:color w:val="000000"/>
                <w:sz w:val="20"/>
                <w:szCs w:val="22"/>
              </w:rPr>
              <w:t>1,</w:t>
            </w:r>
            <w:r>
              <w:rPr>
                <w:rFonts w:ascii="Arial" w:eastAsia="Arial Unicode MS" w:hAnsi="Arial" w:cs="Arial"/>
                <w:color w:val="000000"/>
                <w:sz w:val="20"/>
                <w:szCs w:val="22"/>
              </w:rPr>
              <w:t>591.6</w:t>
            </w:r>
            <w:r w:rsidRPr="00F83792">
              <w:rPr>
                <w:rFonts w:ascii="Arial" w:eastAsia="Arial Unicode MS" w:hAnsi="Arial" w:cs="Arial"/>
                <w:color w:val="000000"/>
                <w:sz w:val="20"/>
                <w:szCs w:val="22"/>
              </w:rPr>
              <w:t>m</w:t>
            </w:r>
            <w:r w:rsidRPr="00F83792">
              <w:rPr>
                <w:rFonts w:ascii="Arial" w:eastAsia="Arial Unicode MS" w:hAnsi="Arial" w:cs="Arial"/>
                <w:color w:val="000000"/>
                <w:sz w:val="20"/>
                <w:szCs w:val="22"/>
              </w:rPr>
              <w:t xml:space="preserve">.  </w:t>
            </w:r>
          </w:p>
          <w:p w:rsidR="00DC78E9" w:rsidRPr="00F83792" w:rsidRDefault="00E56C9A" w:rsidP="00105290">
            <w:pPr>
              <w:autoSpaceDE w:val="0"/>
              <w:autoSpaceDN w:val="0"/>
              <w:adjustRightInd w:val="0"/>
              <w:jc w:val="both"/>
              <w:rPr>
                <w:rFonts w:ascii="Arial" w:eastAsia="Arial Unicode MS" w:hAnsi="Arial" w:cs="Arial"/>
                <w:color w:val="000000"/>
                <w:sz w:val="20"/>
                <w:szCs w:val="22"/>
              </w:rPr>
            </w:pPr>
          </w:p>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There is a risk that these investments might be under or overstated in the accounts.</w:t>
            </w:r>
          </w:p>
        </w:tc>
      </w:tr>
      <w:tr w:rsidR="00B368D6" w:rsidTr="00105290">
        <w:trPr>
          <w:trHeight w:val="1431"/>
        </w:trPr>
        <w:tc>
          <w:tcPr>
            <w:tcW w:w="1843" w:type="dxa"/>
            <w:shd w:val="clear" w:color="auto" w:fill="auto"/>
          </w:tcPr>
          <w:p w:rsidR="00DC78E9" w:rsidRPr="00F83792" w:rsidRDefault="00E56C9A" w:rsidP="00105290">
            <w:pPr>
              <w:autoSpaceDE w:val="0"/>
              <w:autoSpaceDN w:val="0"/>
              <w:adjustRightInd w:val="0"/>
              <w:rPr>
                <w:rFonts w:ascii="Arial" w:eastAsia="Arial Unicode MS" w:hAnsi="Arial" w:cs="Arial"/>
                <w:color w:val="000000"/>
                <w:sz w:val="20"/>
                <w:szCs w:val="22"/>
              </w:rPr>
            </w:pPr>
            <w:r>
              <w:rPr>
                <w:rFonts w:ascii="Arial" w:eastAsia="Arial Unicode MS" w:hAnsi="Arial" w:cs="Arial"/>
                <w:color w:val="000000"/>
                <w:sz w:val="20"/>
                <w:szCs w:val="22"/>
              </w:rPr>
              <w:t>Loans secured on real assets</w:t>
            </w:r>
          </w:p>
          <w:p w:rsidR="00DC78E9" w:rsidRPr="00F83792" w:rsidRDefault="00E56C9A" w:rsidP="00105290">
            <w:pPr>
              <w:autoSpaceDE w:val="0"/>
              <w:autoSpaceDN w:val="0"/>
              <w:adjustRightInd w:val="0"/>
              <w:rPr>
                <w:rFonts w:ascii="Arial" w:eastAsia="Arial Unicode MS" w:hAnsi="Arial" w:cs="Arial"/>
                <w:color w:val="000000"/>
                <w:sz w:val="20"/>
                <w:szCs w:val="22"/>
              </w:rPr>
            </w:pPr>
            <w:r w:rsidRPr="00F83792">
              <w:rPr>
                <w:rFonts w:ascii="Arial" w:eastAsia="Arial Unicode MS" w:hAnsi="Arial" w:cs="Arial"/>
                <w:color w:val="000000"/>
                <w:sz w:val="20"/>
                <w:szCs w:val="22"/>
              </w:rPr>
              <w:t xml:space="preserve"> </w:t>
            </w:r>
          </w:p>
        </w:tc>
        <w:tc>
          <w:tcPr>
            <w:tcW w:w="3898" w:type="dxa"/>
            <w:shd w:val="clear" w:color="auto" w:fill="auto"/>
          </w:tcPr>
          <w:p w:rsidR="00DC78E9" w:rsidRPr="00F83792" w:rsidRDefault="00E56C9A" w:rsidP="00680515">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 xml:space="preserve">The </w:t>
            </w:r>
            <w:proofErr w:type="spellStart"/>
            <w:r>
              <w:rPr>
                <w:rFonts w:ascii="Arial" w:eastAsia="Arial Unicode MS" w:hAnsi="Arial" w:cs="Arial"/>
                <w:color w:val="000000"/>
                <w:sz w:val="20"/>
                <w:szCs w:val="22"/>
              </w:rPr>
              <w:t>Heylo</w:t>
            </w:r>
            <w:proofErr w:type="spellEnd"/>
            <w:r>
              <w:rPr>
                <w:rFonts w:ascii="Arial" w:eastAsia="Arial Unicode MS" w:hAnsi="Arial" w:cs="Arial"/>
                <w:color w:val="000000"/>
                <w:sz w:val="20"/>
                <w:szCs w:val="22"/>
              </w:rPr>
              <w:t xml:space="preserve"> Housing Trust loans</w:t>
            </w:r>
            <w:r w:rsidRPr="00F83792">
              <w:rPr>
                <w:rFonts w:ascii="Arial" w:eastAsia="Arial Unicode MS" w:hAnsi="Arial" w:cs="Arial"/>
                <w:color w:val="000000"/>
                <w:sz w:val="20"/>
                <w:szCs w:val="22"/>
              </w:rPr>
              <w:t xml:space="preserve"> are held at the best estimate of market value.  The value is based on long term expectations of interest rates, inflation and credit spreads in the housing association sector. Exact market benchmarks for these estimates may </w:t>
            </w:r>
            <w:r w:rsidRPr="00F83792">
              <w:rPr>
                <w:rFonts w:ascii="Arial" w:eastAsia="Arial Unicode MS" w:hAnsi="Arial" w:cs="Arial"/>
                <w:color w:val="000000"/>
                <w:sz w:val="20"/>
                <w:szCs w:val="22"/>
              </w:rPr>
              <w:t xml:space="preserve">not be easily observable.  </w:t>
            </w:r>
          </w:p>
        </w:tc>
        <w:tc>
          <w:tcPr>
            <w:tcW w:w="3898" w:type="dxa"/>
            <w:shd w:val="clear" w:color="auto" w:fill="auto"/>
          </w:tcPr>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 xml:space="preserve">The market value of housing authority </w:t>
            </w:r>
            <w:r>
              <w:rPr>
                <w:rFonts w:ascii="Arial" w:eastAsia="Arial Unicode MS" w:hAnsi="Arial" w:cs="Arial"/>
                <w:color w:val="000000"/>
                <w:sz w:val="20"/>
                <w:szCs w:val="22"/>
              </w:rPr>
              <w:t>loans</w:t>
            </w:r>
            <w:r>
              <w:rPr>
                <w:rFonts w:ascii="Arial" w:eastAsia="Arial Unicode MS" w:hAnsi="Arial" w:cs="Arial"/>
                <w:color w:val="000000"/>
                <w:sz w:val="20"/>
                <w:szCs w:val="22"/>
              </w:rPr>
              <w:t xml:space="preserve"> to </w:t>
            </w:r>
            <w:proofErr w:type="spellStart"/>
            <w:r>
              <w:rPr>
                <w:rFonts w:ascii="Arial" w:eastAsia="Arial Unicode MS" w:hAnsi="Arial" w:cs="Arial"/>
                <w:color w:val="000000"/>
                <w:sz w:val="20"/>
                <w:szCs w:val="22"/>
              </w:rPr>
              <w:t>Heylo</w:t>
            </w:r>
            <w:proofErr w:type="spellEnd"/>
            <w:r>
              <w:rPr>
                <w:rFonts w:ascii="Arial" w:eastAsia="Arial Unicode MS" w:hAnsi="Arial" w:cs="Arial"/>
                <w:color w:val="000000"/>
                <w:sz w:val="20"/>
                <w:szCs w:val="22"/>
              </w:rPr>
              <w:t xml:space="preserve"> Housing</w:t>
            </w:r>
            <w:r w:rsidRPr="00F83792">
              <w:rPr>
                <w:rFonts w:ascii="Arial" w:eastAsia="Arial Unicode MS" w:hAnsi="Arial" w:cs="Arial"/>
                <w:color w:val="000000"/>
                <w:sz w:val="20"/>
                <w:szCs w:val="22"/>
              </w:rPr>
              <w:t xml:space="preserve"> totals £</w:t>
            </w:r>
            <w:r w:rsidRPr="00F83792">
              <w:rPr>
                <w:rFonts w:ascii="Arial" w:eastAsia="Arial Unicode MS" w:hAnsi="Arial" w:cs="Arial"/>
                <w:color w:val="000000"/>
                <w:sz w:val="20"/>
                <w:szCs w:val="22"/>
              </w:rPr>
              <w:t>138.</w:t>
            </w:r>
            <w:r w:rsidRPr="00F83792">
              <w:rPr>
                <w:rFonts w:ascii="Arial" w:eastAsia="Arial Unicode MS" w:hAnsi="Arial" w:cs="Arial"/>
                <w:color w:val="000000"/>
                <w:sz w:val="20"/>
                <w:szCs w:val="22"/>
              </w:rPr>
              <w:t>6m in the financial statements.</w:t>
            </w:r>
          </w:p>
          <w:p w:rsidR="00DC78E9" w:rsidRPr="00F83792" w:rsidRDefault="00E56C9A" w:rsidP="00105290">
            <w:pPr>
              <w:autoSpaceDE w:val="0"/>
              <w:autoSpaceDN w:val="0"/>
              <w:adjustRightInd w:val="0"/>
              <w:jc w:val="both"/>
              <w:rPr>
                <w:rFonts w:ascii="Arial" w:eastAsia="Arial Unicode MS" w:hAnsi="Arial" w:cs="Arial"/>
                <w:color w:val="000000"/>
                <w:sz w:val="20"/>
                <w:szCs w:val="22"/>
              </w:rPr>
            </w:pPr>
          </w:p>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There is a risk that this may be under or overstated.</w:t>
            </w:r>
          </w:p>
          <w:p w:rsidR="00DC78E9" w:rsidRPr="00F83792" w:rsidRDefault="00E56C9A" w:rsidP="00105290">
            <w:pPr>
              <w:autoSpaceDE w:val="0"/>
              <w:autoSpaceDN w:val="0"/>
              <w:adjustRightInd w:val="0"/>
              <w:jc w:val="both"/>
              <w:rPr>
                <w:rFonts w:ascii="Arial" w:eastAsia="Arial Unicode MS" w:hAnsi="Arial" w:cs="Arial"/>
                <w:color w:val="000000"/>
                <w:sz w:val="20"/>
                <w:szCs w:val="22"/>
                <w:highlight w:val="yellow"/>
              </w:rPr>
            </w:pPr>
          </w:p>
        </w:tc>
      </w:tr>
      <w:tr w:rsidR="00B368D6" w:rsidTr="00105290">
        <w:trPr>
          <w:trHeight w:val="1620"/>
        </w:trPr>
        <w:tc>
          <w:tcPr>
            <w:tcW w:w="1843" w:type="dxa"/>
            <w:shd w:val="clear" w:color="auto" w:fill="auto"/>
          </w:tcPr>
          <w:p w:rsidR="00DC78E9" w:rsidRPr="00F83792" w:rsidRDefault="00E56C9A" w:rsidP="00105290">
            <w:pPr>
              <w:autoSpaceDE w:val="0"/>
              <w:autoSpaceDN w:val="0"/>
              <w:adjustRightInd w:val="0"/>
              <w:rPr>
                <w:rFonts w:ascii="Arial" w:eastAsia="Arial Unicode MS" w:hAnsi="Arial" w:cs="Arial"/>
                <w:color w:val="000000"/>
                <w:sz w:val="20"/>
                <w:szCs w:val="22"/>
                <w:highlight w:val="yellow"/>
              </w:rPr>
            </w:pPr>
            <w:r w:rsidRPr="00F83792">
              <w:rPr>
                <w:rFonts w:ascii="Arial" w:eastAsia="Arial Unicode MS" w:hAnsi="Arial" w:cs="Arial"/>
                <w:color w:val="000000"/>
                <w:sz w:val="20"/>
                <w:szCs w:val="22"/>
              </w:rPr>
              <w:t>Indirect property valuations</w:t>
            </w:r>
          </w:p>
        </w:tc>
        <w:tc>
          <w:tcPr>
            <w:tcW w:w="3898" w:type="dxa"/>
            <w:shd w:val="clear" w:color="auto" w:fill="auto"/>
          </w:tcPr>
          <w:p w:rsidR="00DC78E9" w:rsidRPr="00F83792" w:rsidRDefault="00E56C9A" w:rsidP="00105290">
            <w:pPr>
              <w:autoSpaceDE w:val="0"/>
              <w:autoSpaceDN w:val="0"/>
              <w:adjustRightInd w:val="0"/>
              <w:jc w:val="both"/>
              <w:rPr>
                <w:rFonts w:ascii="Arial" w:eastAsia="Arial Unicode MS" w:hAnsi="Arial" w:cs="Arial"/>
                <w:color w:val="000000"/>
                <w:sz w:val="20"/>
                <w:szCs w:val="22"/>
                <w:highlight w:val="yellow"/>
              </w:rPr>
            </w:pPr>
            <w:r w:rsidRPr="00F83792">
              <w:rPr>
                <w:rFonts w:ascii="Arial" w:eastAsia="Arial Unicode MS" w:hAnsi="Arial" w:cs="Arial"/>
                <w:color w:val="000000"/>
                <w:sz w:val="20"/>
                <w:szCs w:val="22"/>
              </w:rPr>
              <w:t>Indirect properties are valued at the</w:t>
            </w:r>
            <w:r w:rsidRPr="00F83792">
              <w:rPr>
                <w:rFonts w:ascii="Arial" w:eastAsia="Arial Unicode MS" w:hAnsi="Arial" w:cs="Arial"/>
                <w:color w:val="000000"/>
                <w:sz w:val="20"/>
                <w:szCs w:val="22"/>
              </w:rPr>
              <w:t xml:space="preserve"> current open market value as defined by the RICS Appraisal and Valuation Standards. These investments are not publicly listed and as such there is a degree of estimation involved in the valuation.</w:t>
            </w:r>
          </w:p>
        </w:tc>
        <w:tc>
          <w:tcPr>
            <w:tcW w:w="3898" w:type="dxa"/>
            <w:shd w:val="clear" w:color="auto" w:fill="auto"/>
          </w:tcPr>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 xml:space="preserve">Indirect property investments in the financial statements </w:t>
            </w:r>
            <w:r w:rsidRPr="00F83792">
              <w:rPr>
                <w:rFonts w:ascii="Arial" w:eastAsia="Arial Unicode MS" w:hAnsi="Arial" w:cs="Arial"/>
                <w:color w:val="000000"/>
                <w:sz w:val="20"/>
                <w:szCs w:val="22"/>
              </w:rPr>
              <w:t>total £</w:t>
            </w:r>
            <w:r w:rsidRPr="00F83792">
              <w:rPr>
                <w:rFonts w:ascii="Arial" w:eastAsia="Arial Unicode MS" w:hAnsi="Arial" w:cs="Arial"/>
                <w:color w:val="000000"/>
                <w:sz w:val="20"/>
                <w:szCs w:val="22"/>
              </w:rPr>
              <w:t>99.4</w:t>
            </w:r>
            <w:r w:rsidRPr="00F83792">
              <w:rPr>
                <w:rFonts w:ascii="Arial" w:eastAsia="Arial Unicode MS" w:hAnsi="Arial" w:cs="Arial"/>
                <w:color w:val="000000"/>
                <w:sz w:val="20"/>
                <w:szCs w:val="22"/>
              </w:rPr>
              <w:t xml:space="preserve">m. </w:t>
            </w:r>
          </w:p>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 xml:space="preserve"> </w:t>
            </w:r>
          </w:p>
          <w:p w:rsidR="00DC78E9" w:rsidRPr="00F83792" w:rsidRDefault="00E56C9A" w:rsidP="00105290">
            <w:pPr>
              <w:autoSpaceDE w:val="0"/>
              <w:autoSpaceDN w:val="0"/>
              <w:adjustRightInd w:val="0"/>
              <w:jc w:val="both"/>
              <w:rPr>
                <w:rFonts w:ascii="Arial" w:eastAsia="Arial Unicode MS" w:hAnsi="Arial" w:cs="Arial"/>
                <w:color w:val="000000"/>
                <w:sz w:val="20"/>
                <w:szCs w:val="22"/>
              </w:rPr>
            </w:pPr>
            <w:r w:rsidRPr="00F83792">
              <w:rPr>
                <w:rFonts w:ascii="Arial" w:eastAsia="Arial Unicode MS" w:hAnsi="Arial" w:cs="Arial"/>
                <w:color w:val="000000"/>
                <w:sz w:val="20"/>
                <w:szCs w:val="22"/>
              </w:rPr>
              <w:t>There is a risk that these investments may be under or overstated in the accounts.</w:t>
            </w:r>
          </w:p>
        </w:tc>
      </w:tr>
      <w:tr w:rsidR="00B368D6" w:rsidTr="00105290">
        <w:trPr>
          <w:trHeight w:val="3074"/>
        </w:trPr>
        <w:tc>
          <w:tcPr>
            <w:tcW w:w="1843" w:type="dxa"/>
            <w:shd w:val="clear" w:color="auto" w:fill="auto"/>
          </w:tcPr>
          <w:p w:rsidR="00DC78E9" w:rsidRPr="00F83792" w:rsidRDefault="00E56C9A" w:rsidP="00105290">
            <w:pPr>
              <w:autoSpaceDE w:val="0"/>
              <w:autoSpaceDN w:val="0"/>
              <w:adjustRightInd w:val="0"/>
              <w:rPr>
                <w:rFonts w:ascii="Arial" w:eastAsia="Arial Unicode MS" w:hAnsi="Arial" w:cs="Arial"/>
                <w:color w:val="000000"/>
                <w:sz w:val="20"/>
                <w:szCs w:val="22"/>
              </w:rPr>
            </w:pPr>
            <w:r w:rsidRPr="00F83792">
              <w:rPr>
                <w:rFonts w:ascii="Arial" w:eastAsia="Arial Unicode MS" w:hAnsi="Arial" w:cs="Arial"/>
                <w:color w:val="000000"/>
                <w:sz w:val="20"/>
                <w:szCs w:val="22"/>
              </w:rPr>
              <w:lastRenderedPageBreak/>
              <w:t>Actuarial present value of retirement benefits</w:t>
            </w:r>
          </w:p>
        </w:tc>
        <w:tc>
          <w:tcPr>
            <w:tcW w:w="389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82"/>
            </w:tblGrid>
            <w:tr w:rsidR="00B368D6" w:rsidTr="00105290">
              <w:trPr>
                <w:trHeight w:val="3077"/>
              </w:trPr>
              <w:tc>
                <w:tcPr>
                  <w:tcW w:w="0" w:type="auto"/>
                </w:tcPr>
                <w:p w:rsidR="00DC78E9" w:rsidRPr="00F83792" w:rsidRDefault="00E56C9A" w:rsidP="00105290">
                  <w:pPr>
                    <w:autoSpaceDE w:val="0"/>
                    <w:autoSpaceDN w:val="0"/>
                    <w:adjustRightInd w:val="0"/>
                    <w:ind w:left="-35"/>
                    <w:jc w:val="both"/>
                    <w:rPr>
                      <w:rFonts w:ascii="Arial" w:eastAsia="Arial Unicode MS" w:hAnsi="Arial" w:cs="Arial"/>
                      <w:color w:val="000000"/>
                      <w:sz w:val="20"/>
                      <w:szCs w:val="22"/>
                    </w:rPr>
                  </w:pPr>
                  <w:r w:rsidRPr="00F83792">
                    <w:rPr>
                      <w:rFonts w:ascii="Arial" w:eastAsia="Arial Unicode MS" w:hAnsi="Arial" w:cs="Arial"/>
                      <w:color w:val="000000"/>
                      <w:sz w:val="20"/>
                      <w:szCs w:val="22"/>
                    </w:rPr>
                    <w:t xml:space="preserve">Estimation of the net liability to pay pensions depends on a number of complex judgements relating to the </w:t>
                  </w:r>
                  <w:r w:rsidRPr="00F83792">
                    <w:rPr>
                      <w:rFonts w:ascii="Arial" w:eastAsia="Arial Unicode MS" w:hAnsi="Arial" w:cs="Arial"/>
                      <w:color w:val="000000"/>
                      <w:sz w:val="20"/>
                      <w:szCs w:val="22"/>
                    </w:rPr>
                    <w:t>discount rate used, the rate at which salaries are projected to increase, changes in retirement ages, mortality rates and expected returns on pension fund assets. A firm of consulting actuaries (Mercers) is engaged to provide the authority with expert advi</w:t>
                  </w:r>
                  <w:r w:rsidRPr="00F83792">
                    <w:rPr>
                      <w:rFonts w:ascii="Arial" w:eastAsia="Arial Unicode MS" w:hAnsi="Arial" w:cs="Arial"/>
                      <w:color w:val="000000"/>
                      <w:sz w:val="20"/>
                      <w:szCs w:val="22"/>
                    </w:rPr>
                    <w:t>ce about the assumptions to be applied.</w:t>
                  </w:r>
                </w:p>
              </w:tc>
            </w:tr>
          </w:tbl>
          <w:p w:rsidR="00DC78E9" w:rsidRPr="00F83792" w:rsidRDefault="00E56C9A" w:rsidP="00105290">
            <w:pPr>
              <w:autoSpaceDE w:val="0"/>
              <w:autoSpaceDN w:val="0"/>
              <w:adjustRightInd w:val="0"/>
              <w:jc w:val="both"/>
              <w:rPr>
                <w:rFonts w:ascii="Arial" w:eastAsia="Arial Unicode MS" w:hAnsi="Arial" w:cs="Arial"/>
                <w:color w:val="000000"/>
                <w:sz w:val="20"/>
                <w:szCs w:val="22"/>
              </w:rPr>
            </w:pPr>
          </w:p>
        </w:tc>
        <w:tc>
          <w:tcPr>
            <w:tcW w:w="3898" w:type="dxa"/>
            <w:shd w:val="clear" w:color="auto" w:fill="auto"/>
          </w:tcPr>
          <w:p w:rsidR="00DC78E9" w:rsidRPr="00BB5E0A" w:rsidRDefault="00E56C9A" w:rsidP="00105290">
            <w:pPr>
              <w:autoSpaceDE w:val="0"/>
              <w:autoSpaceDN w:val="0"/>
              <w:adjustRightInd w:val="0"/>
              <w:jc w:val="both"/>
              <w:rPr>
                <w:rFonts w:ascii="Arial" w:eastAsia="Arial Unicode MS" w:hAnsi="Arial" w:cs="Arial"/>
                <w:color w:val="000000"/>
                <w:sz w:val="20"/>
                <w:szCs w:val="20"/>
              </w:rPr>
            </w:pPr>
            <w:r w:rsidRPr="00D166C7">
              <w:rPr>
                <w:rFonts w:ascii="Arial" w:hAnsi="Arial" w:cs="Arial"/>
                <w:iCs/>
                <w:sz w:val="20"/>
                <w:szCs w:val="20"/>
              </w:rPr>
              <w:t xml:space="preserve">The effects on the net pension liability of changes in individual assumptions can be measured. For instance, a 0.25% reduction in the discount rate assumption would increase the value of the liabilities by </w:t>
            </w:r>
            <w:r w:rsidRPr="00D166C7">
              <w:rPr>
                <w:rFonts w:ascii="Arial" w:hAnsi="Arial" w:cs="Arial"/>
                <w:iCs/>
                <w:sz w:val="20"/>
                <w:szCs w:val="20"/>
              </w:rPr>
              <w:t>approximately £450m.  A 0.5% increase in assumed earnings inflation would increase the value of the liabilities by approximately £150m and a 1 year increase in assumed life expectancy would increase the liabilities by approximately £240m.</w:t>
            </w:r>
          </w:p>
        </w:tc>
      </w:tr>
    </w:tbl>
    <w:p w:rsidR="004D6551" w:rsidRPr="00F83792" w:rsidRDefault="00E56C9A" w:rsidP="00310890">
      <w:pPr>
        <w:autoSpaceDE w:val="0"/>
        <w:autoSpaceDN w:val="0"/>
        <w:adjustRightInd w:val="0"/>
        <w:ind w:left="567"/>
        <w:jc w:val="both"/>
        <w:rPr>
          <w:rFonts w:ascii="Arial" w:eastAsia="Arial Unicode MS" w:hAnsi="Arial" w:cs="Arial"/>
          <w:color w:val="000000"/>
          <w:sz w:val="22"/>
          <w:szCs w:val="22"/>
          <w:lang w:eastAsia="en-GB"/>
        </w:rPr>
      </w:pPr>
    </w:p>
    <w:p w:rsidR="00DC78E9" w:rsidRPr="00F83792" w:rsidRDefault="00E56C9A" w:rsidP="00DC78E9">
      <w:pPr>
        <w:numPr>
          <w:ilvl w:val="0"/>
          <w:numId w:val="7"/>
        </w:numPr>
        <w:tabs>
          <w:tab w:val="num" w:pos="567"/>
        </w:tabs>
        <w:autoSpaceDE w:val="0"/>
        <w:autoSpaceDN w:val="0"/>
        <w:adjustRightInd w:val="0"/>
        <w:ind w:left="567" w:hanging="567"/>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CONTRIBUTIONS</w:t>
      </w:r>
      <w:r w:rsidRPr="00F83792">
        <w:rPr>
          <w:rFonts w:ascii="Arial" w:eastAsia="Arial Unicode MS" w:hAnsi="Arial" w:cs="Arial"/>
          <w:b/>
          <w:color w:val="000000"/>
          <w:sz w:val="32"/>
          <w:szCs w:val="22"/>
        </w:rPr>
        <w:t xml:space="preserve"> RECEIVABLE</w:t>
      </w:r>
    </w:p>
    <w:p w:rsidR="00DC78E9" w:rsidRPr="00F83792" w:rsidRDefault="00E56C9A" w:rsidP="00DC78E9">
      <w:pPr>
        <w:autoSpaceDE w:val="0"/>
        <w:autoSpaceDN w:val="0"/>
        <w:adjustRightInd w:val="0"/>
        <w:ind w:left="567"/>
        <w:contextualSpacing/>
        <w:jc w:val="both"/>
        <w:rPr>
          <w:rFonts w:ascii="Arial" w:eastAsia="Arial Unicode MS" w:hAnsi="Arial" w:cs="Arial"/>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F83792" w:rsidRDefault="00E56C9A" w:rsidP="00695C24">
            <w:pPr>
              <w:tabs>
                <w:tab w:val="left" w:pos="717"/>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2015/16</w:t>
            </w:r>
          </w:p>
        </w:tc>
        <w:tc>
          <w:tcPr>
            <w:tcW w:w="6221" w:type="dxa"/>
            <w:tcBorders>
              <w:bottom w:val="nil"/>
            </w:tcBorders>
            <w:shd w:val="clear" w:color="auto" w:fill="E7E6E6" w:themeFill="background2"/>
          </w:tcPr>
          <w:p w:rsidR="00DC78E9" w:rsidRPr="00F83792" w:rsidRDefault="00E56C9A" w:rsidP="00105290">
            <w:pPr>
              <w:rPr>
                <w:rFonts w:ascii="Arial" w:eastAsia="Arial Unicode MS" w:hAnsi="Arial" w:cs="Arial"/>
                <w:b/>
                <w:sz w:val="20"/>
                <w:szCs w:val="18"/>
              </w:rPr>
            </w:pPr>
          </w:p>
        </w:tc>
        <w:tc>
          <w:tcPr>
            <w:tcW w:w="1701" w:type="dxa"/>
            <w:shd w:val="clear" w:color="auto" w:fill="E7E6E6" w:themeFill="background2"/>
          </w:tcPr>
          <w:p w:rsidR="00DC78E9" w:rsidRPr="00F83792" w:rsidRDefault="00E56C9A" w:rsidP="00695C24">
            <w:pPr>
              <w:tabs>
                <w:tab w:val="left" w:pos="719"/>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2016/17</w:t>
            </w:r>
          </w:p>
        </w:tc>
      </w:tr>
      <w:tr w:rsidR="00B368D6" w:rsidTr="00105290">
        <w:trPr>
          <w:trHeight w:val="266"/>
        </w:trPr>
        <w:tc>
          <w:tcPr>
            <w:tcW w:w="1717" w:type="dxa"/>
            <w:shd w:val="clear" w:color="auto" w:fill="E7E6E6" w:themeFill="background2"/>
          </w:tcPr>
          <w:p w:rsidR="00DC78E9" w:rsidRPr="00F83792" w:rsidRDefault="00E56C9A" w:rsidP="00AC2AD6">
            <w:pPr>
              <w:tabs>
                <w:tab w:val="left" w:pos="719"/>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F83792" w:rsidRDefault="00E56C9A" w:rsidP="00105290">
            <w:pPr>
              <w:rPr>
                <w:rFonts w:ascii="Arial" w:eastAsia="Arial Unicode MS" w:hAnsi="Arial" w:cs="Arial"/>
                <w:b/>
                <w:sz w:val="20"/>
                <w:szCs w:val="18"/>
              </w:rPr>
            </w:pPr>
            <w:r w:rsidRPr="00F83792">
              <w:rPr>
                <w:rFonts w:ascii="Arial" w:eastAsia="Arial Unicode MS" w:hAnsi="Arial" w:cs="Arial"/>
                <w:b/>
                <w:color w:val="000000"/>
                <w:sz w:val="20"/>
                <w:szCs w:val="20"/>
              </w:rPr>
              <w:t>By category</w:t>
            </w:r>
          </w:p>
        </w:tc>
        <w:tc>
          <w:tcPr>
            <w:tcW w:w="1701" w:type="dxa"/>
            <w:shd w:val="clear" w:color="auto" w:fill="E7E6E6" w:themeFill="background2"/>
          </w:tcPr>
          <w:p w:rsidR="00DC78E9" w:rsidRPr="00F83792" w:rsidRDefault="00E56C9A" w:rsidP="00AC2AD6">
            <w:pPr>
              <w:tabs>
                <w:tab w:val="left" w:pos="719"/>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£m</w:t>
            </w:r>
          </w:p>
        </w:tc>
      </w:tr>
      <w:tr w:rsidR="00B368D6" w:rsidTr="00105290">
        <w:trPr>
          <w:trHeight w:val="431"/>
        </w:trPr>
        <w:tc>
          <w:tcPr>
            <w:tcW w:w="1717"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b/>
                <w:color w:val="000000"/>
                <w:sz w:val="20"/>
                <w:szCs w:val="20"/>
              </w:rPr>
            </w:pPr>
            <w:r w:rsidRPr="00F83792">
              <w:rPr>
                <w:rFonts w:ascii="Arial" w:eastAsia="Arial Unicode MS" w:hAnsi="Arial" w:cs="Arial"/>
                <w:b/>
                <w:color w:val="000000"/>
                <w:sz w:val="20"/>
                <w:szCs w:val="20"/>
              </w:rPr>
              <w:t>54.9</w:t>
            </w:r>
          </w:p>
        </w:tc>
        <w:tc>
          <w:tcPr>
            <w:tcW w:w="6221" w:type="dxa"/>
            <w:shd w:val="clear" w:color="auto" w:fill="auto"/>
          </w:tcPr>
          <w:p w:rsidR="00310890" w:rsidRPr="00F83792" w:rsidRDefault="00E56C9A" w:rsidP="00310890">
            <w:pPr>
              <w:tabs>
                <w:tab w:val="left" w:pos="1455"/>
                <w:tab w:val="left" w:pos="5040"/>
                <w:tab w:val="left" w:pos="6885"/>
              </w:tabs>
              <w:spacing w:after="120"/>
              <w:jc w:val="both"/>
              <w:rPr>
                <w:rFonts w:ascii="Arial" w:eastAsia="Arial Unicode MS" w:hAnsi="Arial" w:cs="Arial"/>
                <w:color w:val="000000"/>
                <w:sz w:val="20"/>
                <w:szCs w:val="20"/>
              </w:rPr>
            </w:pPr>
            <w:r w:rsidRPr="00F83792">
              <w:rPr>
                <w:rFonts w:ascii="Arial" w:eastAsia="Arial Unicode MS" w:hAnsi="Arial" w:cs="Arial"/>
                <w:color w:val="000000"/>
                <w:sz w:val="20"/>
                <w:szCs w:val="20"/>
              </w:rPr>
              <w:t>Members</w:t>
            </w:r>
          </w:p>
        </w:tc>
        <w:tc>
          <w:tcPr>
            <w:tcW w:w="1701" w:type="dxa"/>
            <w:shd w:val="clear" w:color="auto" w:fill="auto"/>
          </w:tcPr>
          <w:p w:rsidR="00310890" w:rsidRPr="001303FE" w:rsidRDefault="00E56C9A" w:rsidP="00310890">
            <w:pPr>
              <w:tabs>
                <w:tab w:val="left" w:pos="2160"/>
                <w:tab w:val="left" w:pos="6885"/>
              </w:tabs>
              <w:spacing w:after="60"/>
              <w:jc w:val="right"/>
              <w:rPr>
                <w:rFonts w:ascii="Arial" w:eastAsia="Arial Unicode MS" w:hAnsi="Arial" w:cs="Arial"/>
                <w:b/>
                <w:sz w:val="20"/>
                <w:szCs w:val="18"/>
              </w:rPr>
            </w:pPr>
            <w:r w:rsidRPr="001303FE">
              <w:rPr>
                <w:rFonts w:ascii="Arial" w:eastAsia="Arial Unicode MS" w:hAnsi="Arial" w:cs="Arial"/>
                <w:b/>
                <w:sz w:val="20"/>
                <w:szCs w:val="18"/>
              </w:rPr>
              <w:t>55.5</w:t>
            </w:r>
          </w:p>
        </w:tc>
      </w:tr>
      <w:tr w:rsidR="00B368D6" w:rsidTr="00105290">
        <w:trPr>
          <w:trHeight w:val="431"/>
        </w:trPr>
        <w:tc>
          <w:tcPr>
            <w:tcW w:w="1717"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sz w:val="20"/>
                <w:szCs w:val="18"/>
              </w:rPr>
            </w:pPr>
          </w:p>
        </w:tc>
        <w:tc>
          <w:tcPr>
            <w:tcW w:w="6221" w:type="dxa"/>
            <w:shd w:val="clear" w:color="auto" w:fill="auto"/>
          </w:tcPr>
          <w:p w:rsidR="00310890" w:rsidRPr="00F83792" w:rsidRDefault="00E56C9A" w:rsidP="003108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0"/>
              </w:rPr>
              <w:t>Employers:</w:t>
            </w:r>
          </w:p>
        </w:tc>
        <w:tc>
          <w:tcPr>
            <w:tcW w:w="1701"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sz w:val="20"/>
                <w:szCs w:val="18"/>
              </w:rPr>
            </w:pPr>
          </w:p>
        </w:tc>
      </w:tr>
      <w:tr w:rsidR="00B368D6" w:rsidTr="00310890">
        <w:trPr>
          <w:trHeight w:val="519"/>
        </w:trPr>
        <w:tc>
          <w:tcPr>
            <w:tcW w:w="1717" w:type="dxa"/>
            <w:shd w:val="clear" w:color="auto" w:fill="auto"/>
          </w:tcPr>
          <w:p w:rsidR="00310890" w:rsidRPr="00F83792" w:rsidRDefault="00E56C9A" w:rsidP="00FD0B28">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122.</w:t>
            </w:r>
            <w:r>
              <w:rPr>
                <w:rFonts w:ascii="Arial" w:eastAsia="Arial Unicode MS" w:hAnsi="Arial" w:cs="Arial"/>
                <w:sz w:val="20"/>
                <w:szCs w:val="18"/>
              </w:rPr>
              <w:t>4</w:t>
            </w:r>
          </w:p>
        </w:tc>
        <w:tc>
          <w:tcPr>
            <w:tcW w:w="6221" w:type="dxa"/>
            <w:shd w:val="clear" w:color="auto" w:fill="auto"/>
          </w:tcPr>
          <w:p w:rsidR="00310890" w:rsidRPr="00F83792" w:rsidRDefault="00E56C9A" w:rsidP="003108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0"/>
              </w:rPr>
              <w:t>Normal contributions</w:t>
            </w:r>
          </w:p>
        </w:tc>
        <w:tc>
          <w:tcPr>
            <w:tcW w:w="1701"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124.5</w:t>
            </w:r>
          </w:p>
        </w:tc>
      </w:tr>
      <w:tr w:rsidR="00B368D6" w:rsidTr="00310890">
        <w:trPr>
          <w:trHeight w:val="519"/>
        </w:trPr>
        <w:tc>
          <w:tcPr>
            <w:tcW w:w="1717"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color w:val="000000"/>
                <w:sz w:val="20"/>
                <w:szCs w:val="20"/>
              </w:rPr>
            </w:pPr>
            <w:r w:rsidRPr="00F83792">
              <w:rPr>
                <w:rFonts w:ascii="Arial" w:eastAsia="Arial Unicode MS" w:hAnsi="Arial" w:cs="Arial"/>
                <w:color w:val="000000"/>
                <w:sz w:val="20"/>
                <w:szCs w:val="20"/>
              </w:rPr>
              <w:t>49.0</w:t>
            </w:r>
          </w:p>
        </w:tc>
        <w:tc>
          <w:tcPr>
            <w:tcW w:w="6221" w:type="dxa"/>
            <w:shd w:val="clear" w:color="auto" w:fill="auto"/>
          </w:tcPr>
          <w:p w:rsidR="00310890" w:rsidRPr="00F83792" w:rsidRDefault="00E56C9A" w:rsidP="00310890">
            <w:pPr>
              <w:tabs>
                <w:tab w:val="left" w:pos="1455"/>
                <w:tab w:val="left" w:pos="5040"/>
                <w:tab w:val="left" w:pos="6885"/>
              </w:tabs>
              <w:spacing w:after="120"/>
              <w:jc w:val="both"/>
              <w:rPr>
                <w:rFonts w:ascii="Arial" w:eastAsia="Arial Unicode MS" w:hAnsi="Arial" w:cs="Arial"/>
                <w:color w:val="000000"/>
                <w:sz w:val="20"/>
                <w:szCs w:val="20"/>
              </w:rPr>
            </w:pPr>
            <w:r w:rsidRPr="00F83792">
              <w:rPr>
                <w:rFonts w:ascii="Arial" w:eastAsia="Arial Unicode MS" w:hAnsi="Arial" w:cs="Arial"/>
                <w:color w:val="000000"/>
                <w:sz w:val="20"/>
                <w:szCs w:val="20"/>
              </w:rPr>
              <w:t>Deficit recovery contributions</w:t>
            </w:r>
          </w:p>
        </w:tc>
        <w:tc>
          <w:tcPr>
            <w:tcW w:w="1701"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48.5</w:t>
            </w:r>
          </w:p>
        </w:tc>
      </w:tr>
      <w:tr w:rsidR="00B368D6" w:rsidTr="00310890">
        <w:trPr>
          <w:trHeight w:val="519"/>
        </w:trPr>
        <w:tc>
          <w:tcPr>
            <w:tcW w:w="1717"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color w:val="000000"/>
                <w:sz w:val="20"/>
                <w:szCs w:val="20"/>
              </w:rPr>
            </w:pPr>
            <w:r w:rsidRPr="00F83792">
              <w:rPr>
                <w:rFonts w:ascii="Arial" w:eastAsia="Arial Unicode MS" w:hAnsi="Arial" w:cs="Arial"/>
                <w:color w:val="000000"/>
                <w:sz w:val="20"/>
                <w:szCs w:val="20"/>
              </w:rPr>
              <w:t>12.3</w:t>
            </w:r>
          </w:p>
        </w:tc>
        <w:tc>
          <w:tcPr>
            <w:tcW w:w="6221" w:type="dxa"/>
            <w:shd w:val="clear" w:color="auto" w:fill="auto"/>
          </w:tcPr>
          <w:p w:rsidR="00310890" w:rsidRPr="00F83792" w:rsidRDefault="00E56C9A" w:rsidP="00310890">
            <w:pPr>
              <w:tabs>
                <w:tab w:val="left" w:pos="1455"/>
                <w:tab w:val="left" w:pos="5040"/>
                <w:tab w:val="left" w:pos="6885"/>
              </w:tabs>
              <w:spacing w:after="120"/>
              <w:jc w:val="both"/>
              <w:rPr>
                <w:rFonts w:ascii="Arial" w:eastAsia="Arial Unicode MS" w:hAnsi="Arial" w:cs="Arial"/>
                <w:color w:val="000000"/>
                <w:sz w:val="20"/>
                <w:szCs w:val="20"/>
              </w:rPr>
            </w:pPr>
            <w:r w:rsidRPr="00F83792">
              <w:rPr>
                <w:rFonts w:ascii="Arial" w:eastAsia="Arial Unicode MS" w:hAnsi="Arial" w:cs="Arial"/>
                <w:color w:val="000000"/>
                <w:sz w:val="20"/>
                <w:szCs w:val="20"/>
              </w:rPr>
              <w:t>Augmentation contributions</w:t>
            </w:r>
          </w:p>
        </w:tc>
        <w:tc>
          <w:tcPr>
            <w:tcW w:w="1701"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17.0</w:t>
            </w:r>
          </w:p>
        </w:tc>
      </w:tr>
      <w:tr w:rsidR="00B368D6" w:rsidTr="00310890">
        <w:trPr>
          <w:trHeight w:val="519"/>
        </w:trPr>
        <w:tc>
          <w:tcPr>
            <w:tcW w:w="1717"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b/>
                <w:color w:val="000000"/>
                <w:sz w:val="20"/>
                <w:szCs w:val="20"/>
              </w:rPr>
            </w:pPr>
            <w:r w:rsidRPr="00F83792">
              <w:rPr>
                <w:rFonts w:ascii="Arial" w:eastAsia="Arial Unicode MS" w:hAnsi="Arial" w:cs="Arial"/>
                <w:b/>
                <w:color w:val="000000"/>
                <w:sz w:val="20"/>
                <w:szCs w:val="20"/>
              </w:rPr>
              <w:t>183.7</w:t>
            </w:r>
          </w:p>
        </w:tc>
        <w:tc>
          <w:tcPr>
            <w:tcW w:w="6221" w:type="dxa"/>
            <w:shd w:val="clear" w:color="auto" w:fill="auto"/>
          </w:tcPr>
          <w:p w:rsidR="00310890" w:rsidRPr="00F83792" w:rsidRDefault="00E56C9A" w:rsidP="00310890">
            <w:pPr>
              <w:tabs>
                <w:tab w:val="left" w:pos="1455"/>
                <w:tab w:val="left" w:pos="5040"/>
                <w:tab w:val="left" w:pos="6885"/>
              </w:tabs>
              <w:spacing w:after="120"/>
              <w:jc w:val="both"/>
              <w:rPr>
                <w:rFonts w:ascii="Arial" w:eastAsia="Arial Unicode MS" w:hAnsi="Arial" w:cs="Arial"/>
                <w:color w:val="000000"/>
                <w:sz w:val="20"/>
                <w:szCs w:val="20"/>
              </w:rPr>
            </w:pPr>
            <w:r w:rsidRPr="00F83792">
              <w:rPr>
                <w:rFonts w:ascii="Arial" w:eastAsia="Arial Unicode MS" w:hAnsi="Arial" w:cs="Arial"/>
                <w:color w:val="000000"/>
                <w:sz w:val="20"/>
                <w:szCs w:val="20"/>
              </w:rPr>
              <w:t>Total employers contributions</w:t>
            </w:r>
          </w:p>
        </w:tc>
        <w:tc>
          <w:tcPr>
            <w:tcW w:w="1701" w:type="dxa"/>
            <w:shd w:val="clear" w:color="auto" w:fill="auto"/>
          </w:tcPr>
          <w:p w:rsidR="00310890" w:rsidRPr="001303FE" w:rsidRDefault="00E56C9A" w:rsidP="00310890">
            <w:pPr>
              <w:tabs>
                <w:tab w:val="left" w:pos="2160"/>
                <w:tab w:val="left" w:pos="6885"/>
              </w:tabs>
              <w:spacing w:after="60"/>
              <w:jc w:val="right"/>
              <w:rPr>
                <w:rFonts w:ascii="Arial" w:eastAsia="Arial Unicode MS" w:hAnsi="Arial" w:cs="Arial"/>
                <w:b/>
                <w:sz w:val="20"/>
                <w:szCs w:val="18"/>
              </w:rPr>
            </w:pPr>
            <w:r w:rsidRPr="001303FE">
              <w:rPr>
                <w:rFonts w:ascii="Arial" w:eastAsia="Arial Unicode MS" w:hAnsi="Arial" w:cs="Arial"/>
                <w:b/>
                <w:sz w:val="20"/>
                <w:szCs w:val="18"/>
              </w:rPr>
              <w:t>190.0</w:t>
            </w:r>
          </w:p>
        </w:tc>
      </w:tr>
      <w:tr w:rsidR="00B368D6" w:rsidTr="00105290">
        <w:trPr>
          <w:trHeight w:val="431"/>
        </w:trPr>
        <w:tc>
          <w:tcPr>
            <w:tcW w:w="1717" w:type="dxa"/>
            <w:shd w:val="clear" w:color="auto" w:fill="E7E6E6" w:themeFill="background2"/>
          </w:tcPr>
          <w:p w:rsidR="00310890" w:rsidRPr="00F83792" w:rsidRDefault="00E56C9A" w:rsidP="00310890">
            <w:pPr>
              <w:tabs>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color w:val="000000"/>
                <w:sz w:val="20"/>
                <w:szCs w:val="20"/>
              </w:rPr>
              <w:t>238.6</w:t>
            </w:r>
          </w:p>
        </w:tc>
        <w:tc>
          <w:tcPr>
            <w:tcW w:w="6221" w:type="dxa"/>
            <w:shd w:val="clear" w:color="auto" w:fill="E7E6E6" w:themeFill="background2"/>
          </w:tcPr>
          <w:p w:rsidR="00310890" w:rsidRPr="00F83792" w:rsidRDefault="00E56C9A" w:rsidP="00310890">
            <w:pPr>
              <w:tabs>
                <w:tab w:val="left" w:pos="1455"/>
                <w:tab w:val="left" w:pos="5040"/>
                <w:tab w:val="left" w:pos="6885"/>
              </w:tabs>
              <w:spacing w:after="120"/>
              <w:jc w:val="both"/>
              <w:rPr>
                <w:rFonts w:ascii="Arial" w:eastAsia="Arial Unicode MS" w:hAnsi="Arial" w:cs="Arial"/>
                <w:b/>
                <w:sz w:val="20"/>
                <w:szCs w:val="18"/>
              </w:rPr>
            </w:pPr>
          </w:p>
        </w:tc>
        <w:tc>
          <w:tcPr>
            <w:tcW w:w="1701" w:type="dxa"/>
            <w:shd w:val="clear" w:color="auto" w:fill="E7E6E6" w:themeFill="background2"/>
          </w:tcPr>
          <w:p w:rsidR="00310890" w:rsidRPr="00F83792" w:rsidRDefault="00E56C9A" w:rsidP="00310890">
            <w:pPr>
              <w:tabs>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245.5</w:t>
            </w:r>
          </w:p>
        </w:tc>
      </w:tr>
      <w:tr w:rsidR="00B368D6" w:rsidTr="00105290">
        <w:trPr>
          <w:trHeight w:val="431"/>
        </w:trPr>
        <w:tc>
          <w:tcPr>
            <w:tcW w:w="1717" w:type="dxa"/>
            <w:shd w:val="clear" w:color="auto" w:fill="E7E6E6" w:themeFill="background2"/>
          </w:tcPr>
          <w:p w:rsidR="00310890" w:rsidRPr="00F83792" w:rsidRDefault="00E56C9A" w:rsidP="00310890">
            <w:pPr>
              <w:tabs>
                <w:tab w:val="left" w:pos="2160"/>
                <w:tab w:val="left" w:pos="6885"/>
              </w:tabs>
              <w:spacing w:after="60"/>
              <w:jc w:val="right"/>
              <w:rPr>
                <w:rFonts w:ascii="Arial" w:eastAsia="Arial Unicode MS" w:hAnsi="Arial" w:cs="Arial"/>
                <w:sz w:val="20"/>
                <w:szCs w:val="18"/>
              </w:rPr>
            </w:pPr>
          </w:p>
        </w:tc>
        <w:tc>
          <w:tcPr>
            <w:tcW w:w="6221" w:type="dxa"/>
            <w:shd w:val="clear" w:color="auto" w:fill="E7E6E6" w:themeFill="background2"/>
          </w:tcPr>
          <w:p w:rsidR="00310890" w:rsidRPr="00F83792" w:rsidRDefault="00E56C9A" w:rsidP="00310890">
            <w:pPr>
              <w:tabs>
                <w:tab w:val="left" w:pos="1455"/>
                <w:tab w:val="left" w:pos="5040"/>
                <w:tab w:val="left" w:pos="6885"/>
              </w:tabs>
              <w:spacing w:after="120"/>
              <w:jc w:val="both"/>
              <w:rPr>
                <w:rFonts w:ascii="Arial" w:eastAsia="Arial Unicode MS" w:hAnsi="Arial" w:cs="Arial"/>
                <w:b/>
                <w:sz w:val="20"/>
                <w:szCs w:val="18"/>
              </w:rPr>
            </w:pPr>
            <w:r w:rsidRPr="00F83792">
              <w:rPr>
                <w:rFonts w:ascii="Arial" w:eastAsia="Arial Unicode MS" w:hAnsi="Arial" w:cs="Arial"/>
                <w:b/>
                <w:color w:val="000000"/>
                <w:sz w:val="20"/>
                <w:szCs w:val="20"/>
              </w:rPr>
              <w:t>By authority</w:t>
            </w:r>
          </w:p>
        </w:tc>
        <w:tc>
          <w:tcPr>
            <w:tcW w:w="1701" w:type="dxa"/>
            <w:shd w:val="clear" w:color="auto" w:fill="E7E6E6" w:themeFill="background2"/>
          </w:tcPr>
          <w:p w:rsidR="00310890" w:rsidRPr="00F83792" w:rsidRDefault="00E56C9A" w:rsidP="00310890">
            <w:pPr>
              <w:tabs>
                <w:tab w:val="left" w:pos="2160"/>
                <w:tab w:val="left" w:pos="6885"/>
              </w:tabs>
              <w:spacing w:after="60"/>
              <w:jc w:val="right"/>
              <w:rPr>
                <w:rFonts w:ascii="Arial" w:eastAsia="Arial Unicode MS" w:hAnsi="Arial" w:cs="Arial"/>
                <w:sz w:val="20"/>
                <w:szCs w:val="18"/>
              </w:rPr>
            </w:pPr>
          </w:p>
        </w:tc>
      </w:tr>
      <w:tr w:rsidR="00B368D6" w:rsidTr="00105290">
        <w:trPr>
          <w:trHeight w:val="431"/>
        </w:trPr>
        <w:tc>
          <w:tcPr>
            <w:tcW w:w="1717"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0"/>
              </w:rPr>
              <w:t>104.2</w:t>
            </w:r>
          </w:p>
        </w:tc>
        <w:tc>
          <w:tcPr>
            <w:tcW w:w="6221" w:type="dxa"/>
            <w:shd w:val="clear" w:color="auto" w:fill="auto"/>
          </w:tcPr>
          <w:p w:rsidR="00310890" w:rsidRPr="00F83792" w:rsidRDefault="00E56C9A" w:rsidP="003108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0"/>
              </w:rPr>
              <w:t>County Council</w:t>
            </w:r>
          </w:p>
        </w:tc>
        <w:tc>
          <w:tcPr>
            <w:tcW w:w="1701"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109.5</w:t>
            </w:r>
          </w:p>
        </w:tc>
      </w:tr>
      <w:tr w:rsidR="00B368D6" w:rsidTr="00105290">
        <w:trPr>
          <w:trHeight w:val="431"/>
        </w:trPr>
        <w:tc>
          <w:tcPr>
            <w:tcW w:w="1717"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0"/>
              </w:rPr>
              <w:t>113.2</w:t>
            </w:r>
          </w:p>
        </w:tc>
        <w:tc>
          <w:tcPr>
            <w:tcW w:w="6221" w:type="dxa"/>
            <w:shd w:val="clear" w:color="auto" w:fill="auto"/>
          </w:tcPr>
          <w:p w:rsidR="00310890" w:rsidRPr="00F83792" w:rsidRDefault="00E56C9A" w:rsidP="003108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0"/>
              </w:rPr>
              <w:t>Scheduled bodies</w:t>
            </w:r>
          </w:p>
        </w:tc>
        <w:tc>
          <w:tcPr>
            <w:tcW w:w="1701"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114.7</w:t>
            </w:r>
          </w:p>
        </w:tc>
      </w:tr>
      <w:tr w:rsidR="00B368D6" w:rsidTr="00105290">
        <w:trPr>
          <w:trHeight w:val="431"/>
        </w:trPr>
        <w:tc>
          <w:tcPr>
            <w:tcW w:w="1717"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0"/>
              </w:rPr>
              <w:t>21.2</w:t>
            </w:r>
          </w:p>
        </w:tc>
        <w:tc>
          <w:tcPr>
            <w:tcW w:w="6221" w:type="dxa"/>
            <w:shd w:val="clear" w:color="auto" w:fill="auto"/>
          </w:tcPr>
          <w:p w:rsidR="00310890" w:rsidRPr="00F83792" w:rsidRDefault="00E56C9A" w:rsidP="003108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0"/>
              </w:rPr>
              <w:t>Admitted bodies</w:t>
            </w:r>
          </w:p>
        </w:tc>
        <w:tc>
          <w:tcPr>
            <w:tcW w:w="1701" w:type="dxa"/>
            <w:shd w:val="clear" w:color="auto" w:fill="auto"/>
          </w:tcPr>
          <w:p w:rsidR="00310890" w:rsidRPr="00F83792" w:rsidRDefault="00E56C9A" w:rsidP="003108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21.3</w:t>
            </w:r>
          </w:p>
        </w:tc>
      </w:tr>
      <w:tr w:rsidR="00B368D6" w:rsidTr="00105290">
        <w:trPr>
          <w:trHeight w:val="431"/>
        </w:trPr>
        <w:tc>
          <w:tcPr>
            <w:tcW w:w="1717" w:type="dxa"/>
            <w:shd w:val="clear" w:color="auto" w:fill="E7E6E6" w:themeFill="background2"/>
          </w:tcPr>
          <w:p w:rsidR="00310890" w:rsidRPr="00F83792" w:rsidRDefault="00E56C9A" w:rsidP="00310890">
            <w:pPr>
              <w:tabs>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color w:val="000000"/>
                <w:sz w:val="20"/>
                <w:szCs w:val="20"/>
              </w:rPr>
              <w:t>238.6</w:t>
            </w:r>
          </w:p>
        </w:tc>
        <w:tc>
          <w:tcPr>
            <w:tcW w:w="6221" w:type="dxa"/>
            <w:shd w:val="clear" w:color="auto" w:fill="E7E6E6" w:themeFill="background2"/>
          </w:tcPr>
          <w:p w:rsidR="00310890" w:rsidRPr="00F83792" w:rsidRDefault="00E56C9A" w:rsidP="00310890">
            <w:pPr>
              <w:tabs>
                <w:tab w:val="left" w:pos="1455"/>
                <w:tab w:val="left" w:pos="5040"/>
                <w:tab w:val="left" w:pos="6885"/>
              </w:tabs>
              <w:spacing w:after="120"/>
              <w:jc w:val="both"/>
              <w:rPr>
                <w:rFonts w:ascii="Arial" w:eastAsia="Arial Unicode MS" w:hAnsi="Arial" w:cs="Arial"/>
                <w:b/>
                <w:sz w:val="20"/>
                <w:szCs w:val="18"/>
              </w:rPr>
            </w:pPr>
          </w:p>
        </w:tc>
        <w:tc>
          <w:tcPr>
            <w:tcW w:w="1701" w:type="dxa"/>
            <w:shd w:val="clear" w:color="auto" w:fill="E7E6E6" w:themeFill="background2"/>
          </w:tcPr>
          <w:p w:rsidR="00310890" w:rsidRPr="00F83792" w:rsidRDefault="00E56C9A" w:rsidP="00310890">
            <w:pPr>
              <w:tabs>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245.5</w:t>
            </w:r>
          </w:p>
        </w:tc>
      </w:tr>
    </w:tbl>
    <w:p w:rsidR="00DC78E9" w:rsidRPr="00F83792" w:rsidRDefault="00E56C9A" w:rsidP="00DC78E9">
      <w:pPr>
        <w:autoSpaceDE w:val="0"/>
        <w:autoSpaceDN w:val="0"/>
        <w:adjustRightInd w:val="0"/>
        <w:ind w:left="567"/>
        <w:jc w:val="both"/>
        <w:rPr>
          <w:rFonts w:ascii="Arial" w:eastAsia="Arial Unicode MS" w:hAnsi="Arial" w:cs="Arial"/>
          <w:b/>
          <w:color w:val="000000"/>
          <w:sz w:val="22"/>
          <w:szCs w:val="22"/>
        </w:rPr>
      </w:pP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r w:rsidRPr="00F83792">
        <w:rPr>
          <w:rFonts w:ascii="Arial" w:eastAsia="Arial Unicode MS" w:hAnsi="Arial" w:cs="Arial"/>
          <w:color w:val="000000"/>
          <w:sz w:val="22"/>
          <w:szCs w:val="22"/>
        </w:rPr>
        <w:t>Augmentation contributions comprise additional pension benefits awarded to scheme members in line with the general conditions of employment.</w:t>
      </w:r>
    </w:p>
    <w:p w:rsidR="00DC78E9" w:rsidRPr="00F83792"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r w:rsidRPr="00E330E6">
        <w:rPr>
          <w:rFonts w:ascii="Arial" w:eastAsia="Arial Unicode MS" w:hAnsi="Arial" w:cs="Arial"/>
          <w:color w:val="000000"/>
          <w:sz w:val="22"/>
          <w:szCs w:val="22"/>
        </w:rPr>
        <w:t xml:space="preserve">Within the employee contributions figure for </w:t>
      </w:r>
      <w:r w:rsidRPr="00E330E6">
        <w:rPr>
          <w:rFonts w:ascii="Arial" w:eastAsia="Arial Unicode MS" w:hAnsi="Arial" w:cs="Arial"/>
          <w:color w:val="000000"/>
          <w:sz w:val="22"/>
          <w:szCs w:val="22"/>
        </w:rPr>
        <w:t>2016/17</w:t>
      </w:r>
      <w:r w:rsidRPr="00E330E6">
        <w:rPr>
          <w:rFonts w:ascii="Arial" w:eastAsia="Arial Unicode MS" w:hAnsi="Arial" w:cs="Arial"/>
          <w:color w:val="000000"/>
          <w:sz w:val="22"/>
          <w:szCs w:val="22"/>
        </w:rPr>
        <w:t xml:space="preserve">, </w:t>
      </w:r>
      <w:r w:rsidRPr="00E330E6">
        <w:rPr>
          <w:rFonts w:ascii="Arial" w:eastAsia="Arial Unicode MS" w:hAnsi="Arial" w:cs="Arial"/>
          <w:color w:val="000000"/>
          <w:sz w:val="22"/>
          <w:szCs w:val="22"/>
        </w:rPr>
        <w:t>£0.3m</w:t>
      </w:r>
      <w:r w:rsidRPr="00E330E6">
        <w:rPr>
          <w:rFonts w:ascii="Arial" w:eastAsia="Arial Unicode MS" w:hAnsi="Arial" w:cs="Arial"/>
          <w:color w:val="000000"/>
          <w:sz w:val="22"/>
          <w:szCs w:val="22"/>
        </w:rPr>
        <w:t xml:space="preserve"> is voluntary and additional regular contributions (</w:t>
      </w:r>
      <w:r w:rsidRPr="00E330E6">
        <w:rPr>
          <w:rFonts w:ascii="Arial" w:eastAsia="Arial Unicode MS" w:hAnsi="Arial" w:cs="Arial"/>
          <w:color w:val="000000"/>
          <w:sz w:val="22"/>
          <w:szCs w:val="22"/>
        </w:rPr>
        <w:t>2015/16</w:t>
      </w:r>
      <w:r w:rsidRPr="00E330E6">
        <w:rPr>
          <w:rFonts w:ascii="Arial" w:eastAsia="Arial Unicode MS" w:hAnsi="Arial" w:cs="Arial"/>
          <w:color w:val="000000"/>
          <w:sz w:val="22"/>
          <w:szCs w:val="22"/>
        </w:rPr>
        <w:t>: £0.4m).</w:t>
      </w:r>
    </w:p>
    <w:p w:rsidR="00DC78E9" w:rsidRPr="00F83792" w:rsidRDefault="00E56C9A" w:rsidP="00DC78E9">
      <w:pPr>
        <w:autoSpaceDE w:val="0"/>
        <w:autoSpaceDN w:val="0"/>
        <w:adjustRightInd w:val="0"/>
        <w:jc w:val="both"/>
        <w:rPr>
          <w:rFonts w:ascii="Arial" w:eastAsia="Arial Unicode MS" w:hAnsi="Arial" w:cs="Arial"/>
          <w:color w:val="000000"/>
          <w:sz w:val="22"/>
          <w:szCs w:val="22"/>
        </w:rPr>
      </w:pPr>
    </w:p>
    <w:p w:rsidR="00DC78E9" w:rsidRPr="00F83792" w:rsidRDefault="00E56C9A" w:rsidP="00DC78E9">
      <w:pPr>
        <w:numPr>
          <w:ilvl w:val="0"/>
          <w:numId w:val="7"/>
        </w:numPr>
        <w:autoSpaceDE w:val="0"/>
        <w:autoSpaceDN w:val="0"/>
        <w:adjustRightInd w:val="0"/>
        <w:ind w:left="862" w:hanging="862"/>
        <w:contextualSpacing/>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TRANSFERS IN FROM OTHER PENSION  FUNDS</w:t>
      </w:r>
    </w:p>
    <w:p w:rsidR="00DC78E9" w:rsidRPr="00F83792" w:rsidRDefault="00E56C9A" w:rsidP="00DC78E9">
      <w:pPr>
        <w:autoSpaceDE w:val="0"/>
        <w:autoSpaceDN w:val="0"/>
        <w:adjustRightInd w:val="0"/>
        <w:ind w:left="862"/>
        <w:contextualSpacing/>
        <w:jc w:val="both"/>
        <w:rPr>
          <w:rFonts w:ascii="Arial" w:eastAsia="Arial Unicode MS" w:hAnsi="Arial" w:cs="Arial"/>
          <w:b/>
          <w:color w:val="000000"/>
          <w:sz w:val="28"/>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F83792" w:rsidRDefault="00E56C9A" w:rsidP="001303FE">
            <w:pPr>
              <w:tabs>
                <w:tab w:val="left" w:pos="717"/>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2015/16</w:t>
            </w:r>
          </w:p>
        </w:tc>
        <w:tc>
          <w:tcPr>
            <w:tcW w:w="6221" w:type="dxa"/>
            <w:tcBorders>
              <w:bottom w:val="nil"/>
            </w:tcBorders>
            <w:shd w:val="clear" w:color="auto" w:fill="E7E6E6" w:themeFill="background2"/>
          </w:tcPr>
          <w:p w:rsidR="00DC78E9" w:rsidRPr="00F83792" w:rsidRDefault="00E56C9A" w:rsidP="00105290">
            <w:pPr>
              <w:rPr>
                <w:rFonts w:ascii="Arial" w:eastAsia="Arial Unicode MS" w:hAnsi="Arial" w:cs="Arial"/>
                <w:b/>
                <w:sz w:val="20"/>
                <w:szCs w:val="18"/>
              </w:rPr>
            </w:pPr>
          </w:p>
        </w:tc>
        <w:tc>
          <w:tcPr>
            <w:tcW w:w="1701" w:type="dxa"/>
            <w:shd w:val="clear" w:color="auto" w:fill="E7E6E6" w:themeFill="background2"/>
          </w:tcPr>
          <w:p w:rsidR="00DC78E9" w:rsidRPr="00F83792" w:rsidRDefault="00E56C9A" w:rsidP="001303FE">
            <w:pPr>
              <w:tabs>
                <w:tab w:val="left" w:pos="719"/>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2016/17</w:t>
            </w:r>
          </w:p>
        </w:tc>
      </w:tr>
      <w:tr w:rsidR="00B368D6" w:rsidTr="00105290">
        <w:trPr>
          <w:trHeight w:val="266"/>
        </w:trPr>
        <w:tc>
          <w:tcPr>
            <w:tcW w:w="1717" w:type="dxa"/>
            <w:shd w:val="clear" w:color="auto" w:fill="E7E6E6" w:themeFill="background2"/>
          </w:tcPr>
          <w:p w:rsidR="00DC78E9" w:rsidRPr="00F83792" w:rsidRDefault="00E56C9A" w:rsidP="00AC2AD6">
            <w:pPr>
              <w:tabs>
                <w:tab w:val="left" w:pos="719"/>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F83792" w:rsidRDefault="00E56C9A" w:rsidP="00AC2AD6">
            <w:pPr>
              <w:jc w:val="right"/>
              <w:rPr>
                <w:rFonts w:ascii="Arial" w:eastAsia="Arial Unicode MS" w:hAnsi="Arial" w:cs="Arial"/>
                <w:b/>
                <w:sz w:val="20"/>
                <w:szCs w:val="18"/>
              </w:rPr>
            </w:pPr>
          </w:p>
        </w:tc>
        <w:tc>
          <w:tcPr>
            <w:tcW w:w="1701" w:type="dxa"/>
            <w:shd w:val="clear" w:color="auto" w:fill="E7E6E6" w:themeFill="background2"/>
          </w:tcPr>
          <w:p w:rsidR="00DC78E9" w:rsidRPr="00F83792" w:rsidRDefault="00E56C9A" w:rsidP="00AC2AD6">
            <w:pPr>
              <w:tabs>
                <w:tab w:val="left" w:pos="719"/>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0"/>
              </w:rPr>
              <w:t>5.5</w:t>
            </w:r>
          </w:p>
        </w:tc>
        <w:tc>
          <w:tcPr>
            <w:tcW w:w="6221" w:type="dxa"/>
            <w:shd w:val="clear" w:color="auto" w:fill="auto"/>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0"/>
              </w:rPr>
              <w:t>Individual transfers in from other schemes</w:t>
            </w:r>
          </w:p>
        </w:tc>
        <w:tc>
          <w:tcPr>
            <w:tcW w:w="1701"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10.9</w:t>
            </w:r>
          </w:p>
        </w:tc>
      </w:tr>
      <w:tr w:rsidR="00B368D6" w:rsidTr="00105290">
        <w:trPr>
          <w:trHeight w:val="431"/>
        </w:trPr>
        <w:tc>
          <w:tcPr>
            <w:tcW w:w="1717"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b/>
                <w:color w:val="000000"/>
                <w:sz w:val="20"/>
                <w:szCs w:val="20"/>
              </w:rPr>
              <w:lastRenderedPageBreak/>
              <w:t>5.5</w:t>
            </w:r>
          </w:p>
        </w:tc>
        <w:tc>
          <w:tcPr>
            <w:tcW w:w="6221" w:type="dxa"/>
            <w:shd w:val="clear" w:color="auto" w:fill="E7E6E6" w:themeFill="background2"/>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p>
        </w:tc>
        <w:tc>
          <w:tcPr>
            <w:tcW w:w="1701"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10.9</w:t>
            </w:r>
          </w:p>
        </w:tc>
      </w:tr>
    </w:tbl>
    <w:p w:rsidR="00DC78E9" w:rsidRPr="00F83792" w:rsidRDefault="00E56C9A" w:rsidP="00DC78E9">
      <w:pPr>
        <w:autoSpaceDE w:val="0"/>
        <w:autoSpaceDN w:val="0"/>
        <w:adjustRightInd w:val="0"/>
        <w:ind w:left="862"/>
        <w:jc w:val="both"/>
        <w:rPr>
          <w:rFonts w:ascii="Arial" w:eastAsia="Arial Unicode MS" w:hAnsi="Arial" w:cs="Arial"/>
          <w:color w:val="000000"/>
          <w:sz w:val="28"/>
          <w:szCs w:val="22"/>
        </w:rPr>
      </w:pPr>
    </w:p>
    <w:p w:rsidR="00DC78E9" w:rsidRPr="00F83792" w:rsidRDefault="00E56C9A" w:rsidP="00DC78E9">
      <w:pPr>
        <w:numPr>
          <w:ilvl w:val="0"/>
          <w:numId w:val="7"/>
        </w:numPr>
        <w:autoSpaceDE w:val="0"/>
        <w:autoSpaceDN w:val="0"/>
        <w:adjustRightInd w:val="0"/>
        <w:ind w:left="862" w:hanging="862"/>
        <w:jc w:val="both"/>
        <w:rPr>
          <w:rFonts w:ascii="Arial" w:eastAsia="Arial Unicode MS" w:hAnsi="Arial" w:cs="Arial"/>
          <w:color w:val="000000"/>
          <w:sz w:val="32"/>
          <w:szCs w:val="22"/>
        </w:rPr>
      </w:pPr>
      <w:r w:rsidRPr="00F83792">
        <w:rPr>
          <w:rFonts w:ascii="Arial" w:eastAsia="Arial Unicode MS" w:hAnsi="Arial" w:cs="Arial"/>
          <w:b/>
          <w:color w:val="000000"/>
          <w:sz w:val="32"/>
          <w:szCs w:val="22"/>
        </w:rPr>
        <w:t>BENEFITS PAYABLE</w:t>
      </w:r>
    </w:p>
    <w:p w:rsidR="00DC78E9" w:rsidRPr="00F83792" w:rsidRDefault="00E56C9A" w:rsidP="00DC78E9">
      <w:pPr>
        <w:autoSpaceDE w:val="0"/>
        <w:autoSpaceDN w:val="0"/>
        <w:adjustRightInd w:val="0"/>
        <w:ind w:left="862"/>
        <w:contextualSpacing/>
        <w:jc w:val="both"/>
        <w:rPr>
          <w:rFonts w:ascii="Arial" w:eastAsia="Arial Unicode MS" w:hAnsi="Arial" w:cs="Arial"/>
          <w:b/>
          <w:color w:val="000000"/>
          <w:sz w:val="28"/>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F83792" w:rsidRDefault="00E56C9A" w:rsidP="001303FE">
            <w:pPr>
              <w:tabs>
                <w:tab w:val="left" w:pos="717"/>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2015/16</w:t>
            </w:r>
          </w:p>
        </w:tc>
        <w:tc>
          <w:tcPr>
            <w:tcW w:w="6221" w:type="dxa"/>
            <w:tcBorders>
              <w:bottom w:val="nil"/>
            </w:tcBorders>
            <w:shd w:val="clear" w:color="auto" w:fill="E7E6E6" w:themeFill="background2"/>
          </w:tcPr>
          <w:p w:rsidR="00DC78E9" w:rsidRPr="00F83792" w:rsidRDefault="00E56C9A" w:rsidP="00105290">
            <w:pPr>
              <w:rPr>
                <w:rFonts w:ascii="Arial" w:eastAsia="Arial Unicode MS" w:hAnsi="Arial" w:cs="Arial"/>
                <w:b/>
                <w:sz w:val="20"/>
                <w:szCs w:val="18"/>
              </w:rPr>
            </w:pPr>
          </w:p>
        </w:tc>
        <w:tc>
          <w:tcPr>
            <w:tcW w:w="1701" w:type="dxa"/>
            <w:shd w:val="clear" w:color="auto" w:fill="E7E6E6" w:themeFill="background2"/>
          </w:tcPr>
          <w:p w:rsidR="00DC78E9" w:rsidRPr="00F83792" w:rsidRDefault="00E56C9A" w:rsidP="001303FE">
            <w:pPr>
              <w:tabs>
                <w:tab w:val="left" w:pos="719"/>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2016/17</w:t>
            </w:r>
          </w:p>
        </w:tc>
      </w:tr>
      <w:tr w:rsidR="00B368D6" w:rsidTr="00105290">
        <w:trPr>
          <w:trHeight w:val="266"/>
        </w:trPr>
        <w:tc>
          <w:tcPr>
            <w:tcW w:w="1717" w:type="dxa"/>
            <w:shd w:val="clear" w:color="auto" w:fill="E7E6E6" w:themeFill="background2"/>
          </w:tcPr>
          <w:p w:rsidR="00DC78E9" w:rsidRPr="00F83792" w:rsidRDefault="00E56C9A" w:rsidP="00AC2AD6">
            <w:pPr>
              <w:tabs>
                <w:tab w:val="left" w:pos="719"/>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F83792" w:rsidRDefault="00E56C9A" w:rsidP="00105290">
            <w:pPr>
              <w:rPr>
                <w:rFonts w:ascii="Arial" w:eastAsia="Arial Unicode MS" w:hAnsi="Arial" w:cs="Arial"/>
                <w:b/>
                <w:sz w:val="20"/>
                <w:szCs w:val="18"/>
              </w:rPr>
            </w:pPr>
            <w:r w:rsidRPr="00F83792">
              <w:rPr>
                <w:rFonts w:ascii="Arial" w:eastAsia="Arial Unicode MS" w:hAnsi="Arial" w:cs="Arial"/>
                <w:b/>
                <w:color w:val="000000"/>
                <w:sz w:val="20"/>
                <w:szCs w:val="20"/>
              </w:rPr>
              <w:t>By category</w:t>
            </w:r>
          </w:p>
        </w:tc>
        <w:tc>
          <w:tcPr>
            <w:tcW w:w="1701" w:type="dxa"/>
            <w:shd w:val="clear" w:color="auto" w:fill="E7E6E6" w:themeFill="background2"/>
          </w:tcPr>
          <w:p w:rsidR="00DC78E9" w:rsidRPr="00F83792" w:rsidRDefault="00E56C9A" w:rsidP="00AC2AD6">
            <w:pPr>
              <w:tabs>
                <w:tab w:val="left" w:pos="719"/>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0"/>
              </w:rPr>
              <w:t>200.2</w:t>
            </w:r>
          </w:p>
        </w:tc>
        <w:tc>
          <w:tcPr>
            <w:tcW w:w="6221" w:type="dxa"/>
            <w:shd w:val="clear" w:color="auto" w:fill="auto"/>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0"/>
              </w:rPr>
              <w:t>Pensions</w:t>
            </w:r>
          </w:p>
        </w:tc>
        <w:tc>
          <w:tcPr>
            <w:tcW w:w="1701" w:type="dxa"/>
            <w:shd w:val="clear" w:color="auto" w:fill="auto"/>
          </w:tcPr>
          <w:p w:rsidR="00AA7AFD" w:rsidRPr="00F83792" w:rsidRDefault="00E56C9A" w:rsidP="00AA7AFD">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207.</w:t>
            </w:r>
            <w:r w:rsidRPr="00F83792">
              <w:rPr>
                <w:rFonts w:ascii="Arial" w:eastAsia="Arial Unicode MS" w:hAnsi="Arial" w:cs="Arial"/>
                <w:sz w:val="20"/>
                <w:szCs w:val="18"/>
              </w:rPr>
              <w:t>3</w:t>
            </w:r>
          </w:p>
        </w:tc>
      </w:tr>
      <w:tr w:rsidR="00B368D6" w:rsidTr="00105290">
        <w:trPr>
          <w:trHeight w:val="431"/>
        </w:trPr>
        <w:tc>
          <w:tcPr>
            <w:tcW w:w="1717"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0"/>
              </w:rPr>
              <w:t>40.5</w:t>
            </w:r>
          </w:p>
        </w:tc>
        <w:tc>
          <w:tcPr>
            <w:tcW w:w="6221" w:type="dxa"/>
            <w:shd w:val="clear" w:color="auto" w:fill="auto"/>
          </w:tcPr>
          <w:p w:rsidR="00DC78E9" w:rsidRPr="00F83792" w:rsidRDefault="00E56C9A" w:rsidP="003108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0"/>
              </w:rPr>
              <w:t>Commutation and lump sum retirement benefits</w:t>
            </w:r>
          </w:p>
        </w:tc>
        <w:tc>
          <w:tcPr>
            <w:tcW w:w="1701"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48.</w:t>
            </w:r>
            <w:r w:rsidRPr="00F83792">
              <w:rPr>
                <w:rFonts w:ascii="Arial" w:eastAsia="Arial Unicode MS" w:hAnsi="Arial" w:cs="Arial"/>
                <w:sz w:val="20"/>
                <w:szCs w:val="18"/>
              </w:rPr>
              <w:t>2</w:t>
            </w:r>
          </w:p>
        </w:tc>
      </w:tr>
      <w:tr w:rsidR="00B368D6" w:rsidTr="00105290">
        <w:trPr>
          <w:trHeight w:val="431"/>
        </w:trPr>
        <w:tc>
          <w:tcPr>
            <w:tcW w:w="1717"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0"/>
              </w:rPr>
              <w:t>5.1</w:t>
            </w:r>
          </w:p>
        </w:tc>
        <w:tc>
          <w:tcPr>
            <w:tcW w:w="6221" w:type="dxa"/>
            <w:shd w:val="clear" w:color="auto" w:fill="auto"/>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0"/>
              </w:rPr>
              <w:t>Lump sum death benefits</w:t>
            </w:r>
          </w:p>
        </w:tc>
        <w:tc>
          <w:tcPr>
            <w:tcW w:w="1701"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5.6</w:t>
            </w:r>
          </w:p>
        </w:tc>
      </w:tr>
      <w:tr w:rsidR="00B368D6" w:rsidTr="00105290">
        <w:trPr>
          <w:trHeight w:val="431"/>
        </w:trPr>
        <w:tc>
          <w:tcPr>
            <w:tcW w:w="1717"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b/>
                <w:color w:val="000000"/>
                <w:sz w:val="20"/>
                <w:szCs w:val="20"/>
              </w:rPr>
              <w:t>245.8</w:t>
            </w:r>
          </w:p>
        </w:tc>
        <w:tc>
          <w:tcPr>
            <w:tcW w:w="6221" w:type="dxa"/>
            <w:shd w:val="clear" w:color="auto" w:fill="E7E6E6" w:themeFill="background2"/>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p>
        </w:tc>
        <w:tc>
          <w:tcPr>
            <w:tcW w:w="1701" w:type="dxa"/>
            <w:shd w:val="clear" w:color="auto" w:fill="E7E6E6" w:themeFill="background2"/>
          </w:tcPr>
          <w:p w:rsidR="00DC78E9" w:rsidRPr="00F83792" w:rsidRDefault="00E56C9A" w:rsidP="00473671">
            <w:pPr>
              <w:tabs>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261.</w:t>
            </w:r>
            <w:r w:rsidRPr="00F83792">
              <w:rPr>
                <w:rFonts w:ascii="Arial" w:eastAsia="Arial Unicode MS" w:hAnsi="Arial" w:cs="Arial"/>
                <w:b/>
                <w:sz w:val="20"/>
                <w:szCs w:val="18"/>
              </w:rPr>
              <w:t>1</w:t>
            </w:r>
          </w:p>
        </w:tc>
      </w:tr>
      <w:tr w:rsidR="00B368D6" w:rsidTr="00105290">
        <w:trPr>
          <w:trHeight w:val="431"/>
        </w:trPr>
        <w:tc>
          <w:tcPr>
            <w:tcW w:w="1717"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p>
        </w:tc>
        <w:tc>
          <w:tcPr>
            <w:tcW w:w="6221" w:type="dxa"/>
            <w:shd w:val="clear" w:color="auto" w:fill="E7E6E6" w:themeFill="background2"/>
          </w:tcPr>
          <w:p w:rsidR="00DC78E9" w:rsidRPr="00F83792" w:rsidRDefault="00E56C9A" w:rsidP="00105290">
            <w:pPr>
              <w:autoSpaceDE w:val="0"/>
              <w:autoSpaceDN w:val="0"/>
              <w:adjustRightInd w:val="0"/>
              <w:jc w:val="both"/>
              <w:rPr>
                <w:rFonts w:ascii="Arial" w:eastAsia="Arial Unicode MS" w:hAnsi="Arial" w:cs="Arial"/>
                <w:b/>
                <w:color w:val="000000"/>
                <w:sz w:val="20"/>
                <w:szCs w:val="20"/>
              </w:rPr>
            </w:pPr>
            <w:r w:rsidRPr="00F83792">
              <w:rPr>
                <w:rFonts w:ascii="Arial" w:eastAsia="Arial Unicode MS" w:hAnsi="Arial" w:cs="Arial"/>
                <w:b/>
                <w:color w:val="000000"/>
                <w:sz w:val="20"/>
                <w:szCs w:val="20"/>
              </w:rPr>
              <w:t>By authority</w:t>
            </w:r>
          </w:p>
        </w:tc>
        <w:tc>
          <w:tcPr>
            <w:tcW w:w="1701"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p>
        </w:tc>
      </w:tr>
      <w:tr w:rsidR="00B368D6" w:rsidTr="00105290">
        <w:trPr>
          <w:trHeight w:val="431"/>
        </w:trPr>
        <w:tc>
          <w:tcPr>
            <w:tcW w:w="1717"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0"/>
              </w:rPr>
              <w:t>107.2</w:t>
            </w:r>
          </w:p>
        </w:tc>
        <w:tc>
          <w:tcPr>
            <w:tcW w:w="6221" w:type="dxa"/>
            <w:shd w:val="clear" w:color="auto" w:fill="auto"/>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0"/>
              </w:rPr>
              <w:t>County Council</w:t>
            </w:r>
          </w:p>
        </w:tc>
        <w:tc>
          <w:tcPr>
            <w:tcW w:w="1701"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113.3</w:t>
            </w:r>
          </w:p>
        </w:tc>
      </w:tr>
      <w:tr w:rsidR="00B368D6" w:rsidTr="00105290">
        <w:trPr>
          <w:trHeight w:val="431"/>
        </w:trPr>
        <w:tc>
          <w:tcPr>
            <w:tcW w:w="1717"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0"/>
              </w:rPr>
              <w:t>120.4</w:t>
            </w:r>
          </w:p>
        </w:tc>
        <w:tc>
          <w:tcPr>
            <w:tcW w:w="6221" w:type="dxa"/>
            <w:shd w:val="clear" w:color="auto" w:fill="auto"/>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0"/>
              </w:rPr>
              <w:t>Scheduled bodies</w:t>
            </w:r>
          </w:p>
        </w:tc>
        <w:tc>
          <w:tcPr>
            <w:tcW w:w="1701"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128.6</w:t>
            </w:r>
          </w:p>
        </w:tc>
      </w:tr>
      <w:tr w:rsidR="00B368D6" w:rsidTr="00105290">
        <w:trPr>
          <w:trHeight w:val="431"/>
        </w:trPr>
        <w:tc>
          <w:tcPr>
            <w:tcW w:w="1717"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color w:val="000000"/>
                <w:sz w:val="20"/>
                <w:szCs w:val="20"/>
              </w:rPr>
              <w:t>18.2</w:t>
            </w:r>
          </w:p>
        </w:tc>
        <w:tc>
          <w:tcPr>
            <w:tcW w:w="6221" w:type="dxa"/>
            <w:shd w:val="clear" w:color="auto" w:fill="auto"/>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r w:rsidRPr="00F83792">
              <w:rPr>
                <w:rFonts w:ascii="Arial" w:eastAsia="Arial Unicode MS" w:hAnsi="Arial" w:cs="Arial"/>
                <w:color w:val="000000"/>
                <w:sz w:val="20"/>
                <w:szCs w:val="20"/>
              </w:rPr>
              <w:t>Admitted bodies</w:t>
            </w:r>
          </w:p>
        </w:tc>
        <w:tc>
          <w:tcPr>
            <w:tcW w:w="1701" w:type="dxa"/>
            <w:shd w:val="clear" w:color="auto" w:fill="auto"/>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sz w:val="20"/>
                <w:szCs w:val="18"/>
              </w:rPr>
              <w:t>19.2</w:t>
            </w:r>
          </w:p>
        </w:tc>
      </w:tr>
      <w:tr w:rsidR="00B368D6" w:rsidTr="00105290">
        <w:trPr>
          <w:trHeight w:val="431"/>
        </w:trPr>
        <w:tc>
          <w:tcPr>
            <w:tcW w:w="1717"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sz w:val="20"/>
                <w:szCs w:val="18"/>
              </w:rPr>
            </w:pPr>
            <w:r w:rsidRPr="00F83792">
              <w:rPr>
                <w:rFonts w:ascii="Arial" w:eastAsia="Arial Unicode MS" w:hAnsi="Arial" w:cs="Arial"/>
                <w:b/>
                <w:color w:val="000000"/>
                <w:sz w:val="20"/>
                <w:szCs w:val="20"/>
              </w:rPr>
              <w:t>245.8</w:t>
            </w:r>
          </w:p>
        </w:tc>
        <w:tc>
          <w:tcPr>
            <w:tcW w:w="6221" w:type="dxa"/>
            <w:shd w:val="clear" w:color="auto" w:fill="E7E6E6" w:themeFill="background2"/>
          </w:tcPr>
          <w:p w:rsidR="00DC78E9" w:rsidRPr="00F83792" w:rsidRDefault="00E56C9A" w:rsidP="00105290">
            <w:pPr>
              <w:tabs>
                <w:tab w:val="left" w:pos="1455"/>
                <w:tab w:val="left" w:pos="5040"/>
                <w:tab w:val="left" w:pos="6885"/>
              </w:tabs>
              <w:spacing w:after="120"/>
              <w:jc w:val="both"/>
              <w:rPr>
                <w:rFonts w:ascii="Arial" w:eastAsia="Arial Unicode MS" w:hAnsi="Arial" w:cs="Arial"/>
                <w:sz w:val="20"/>
                <w:szCs w:val="18"/>
              </w:rPr>
            </w:pPr>
          </w:p>
        </w:tc>
        <w:tc>
          <w:tcPr>
            <w:tcW w:w="1701" w:type="dxa"/>
            <w:shd w:val="clear" w:color="auto" w:fill="E7E6E6" w:themeFill="background2"/>
          </w:tcPr>
          <w:p w:rsidR="00DC78E9" w:rsidRPr="00F83792" w:rsidRDefault="00E56C9A" w:rsidP="00105290">
            <w:pPr>
              <w:tabs>
                <w:tab w:val="left" w:pos="2160"/>
                <w:tab w:val="left" w:pos="6885"/>
              </w:tabs>
              <w:spacing w:after="60"/>
              <w:jc w:val="right"/>
              <w:rPr>
                <w:rFonts w:ascii="Arial" w:eastAsia="Arial Unicode MS" w:hAnsi="Arial" w:cs="Arial"/>
                <w:b/>
                <w:sz w:val="20"/>
                <w:szCs w:val="18"/>
              </w:rPr>
            </w:pPr>
            <w:r w:rsidRPr="00F83792">
              <w:rPr>
                <w:rFonts w:ascii="Arial" w:eastAsia="Arial Unicode MS" w:hAnsi="Arial" w:cs="Arial"/>
                <w:b/>
                <w:sz w:val="20"/>
                <w:szCs w:val="18"/>
              </w:rPr>
              <w:t>261.1</w:t>
            </w:r>
          </w:p>
        </w:tc>
      </w:tr>
    </w:tbl>
    <w:p w:rsidR="00DC78E9" w:rsidRPr="00F83792" w:rsidRDefault="00E56C9A" w:rsidP="00DC78E9">
      <w:pPr>
        <w:autoSpaceDE w:val="0"/>
        <w:autoSpaceDN w:val="0"/>
        <w:adjustRightInd w:val="0"/>
        <w:jc w:val="both"/>
        <w:rPr>
          <w:rFonts w:ascii="Arial" w:eastAsia="Arial Unicode MS" w:hAnsi="Arial" w:cs="Arial"/>
          <w:b/>
          <w:color w:val="000000"/>
          <w:sz w:val="28"/>
          <w:szCs w:val="22"/>
        </w:rPr>
      </w:pPr>
    </w:p>
    <w:p w:rsidR="00DC78E9" w:rsidRPr="00F83792" w:rsidRDefault="00E56C9A" w:rsidP="00DC78E9">
      <w:pPr>
        <w:numPr>
          <w:ilvl w:val="0"/>
          <w:numId w:val="7"/>
        </w:numPr>
        <w:autoSpaceDE w:val="0"/>
        <w:autoSpaceDN w:val="0"/>
        <w:adjustRightInd w:val="0"/>
        <w:ind w:left="862" w:hanging="862"/>
        <w:jc w:val="both"/>
        <w:rPr>
          <w:rFonts w:ascii="Arial" w:eastAsia="Arial Unicode MS" w:hAnsi="Arial" w:cs="Arial"/>
          <w:b/>
          <w:color w:val="000000"/>
          <w:sz w:val="32"/>
          <w:szCs w:val="22"/>
        </w:rPr>
      </w:pPr>
      <w:r w:rsidRPr="00F83792">
        <w:rPr>
          <w:rFonts w:ascii="Arial" w:eastAsia="Arial Unicode MS" w:hAnsi="Arial" w:cs="Arial"/>
          <w:b/>
          <w:color w:val="000000"/>
          <w:sz w:val="32"/>
          <w:szCs w:val="22"/>
        </w:rPr>
        <w:t>PAYMENTS TO AND ON ACCOUNT OF LEAVERS</w:t>
      </w:r>
    </w:p>
    <w:p w:rsidR="00310890" w:rsidRPr="00076CE1" w:rsidRDefault="00E56C9A" w:rsidP="00DC78E9">
      <w:pPr>
        <w:autoSpaceDE w:val="0"/>
        <w:autoSpaceDN w:val="0"/>
        <w:adjustRightInd w:val="0"/>
        <w:jc w:val="both"/>
        <w:rPr>
          <w:rFonts w:ascii="Arial" w:eastAsia="Arial Unicode MS" w:hAnsi="Arial" w:cs="Arial"/>
          <w:b/>
          <w:color w:val="000000"/>
          <w:sz w:val="28"/>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303FE">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2015/16</w:t>
            </w:r>
          </w:p>
        </w:tc>
        <w:tc>
          <w:tcPr>
            <w:tcW w:w="6221" w:type="dxa"/>
            <w:tcBorders>
              <w:bottom w:val="nil"/>
            </w:tcBorders>
            <w:shd w:val="clear" w:color="auto" w:fill="E7E6E6" w:themeFill="background2"/>
          </w:tcPr>
          <w:p w:rsidR="00DC78E9" w:rsidRPr="00076CE1" w:rsidRDefault="00E56C9A" w:rsidP="00105290">
            <w:pPr>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303FE">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2016/17</w:t>
            </w:r>
          </w:p>
        </w:tc>
      </w:tr>
      <w:tr w:rsidR="00B368D6" w:rsidTr="00105290">
        <w:trPr>
          <w:trHeight w:val="266"/>
        </w:trPr>
        <w:tc>
          <w:tcPr>
            <w:tcW w:w="1717"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AC2AD6">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0.7</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Refunds to members leaving service</w:t>
            </w:r>
          </w:p>
        </w:tc>
        <w:tc>
          <w:tcPr>
            <w:tcW w:w="1701" w:type="dxa"/>
            <w:shd w:val="clear" w:color="auto" w:fill="auto"/>
          </w:tcPr>
          <w:p w:rsidR="00472D61" w:rsidRPr="00076CE1" w:rsidRDefault="00E56C9A" w:rsidP="00472D61">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0.7</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11.2</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Individual transfers</w:t>
            </w:r>
          </w:p>
        </w:tc>
        <w:tc>
          <w:tcPr>
            <w:tcW w:w="1701" w:type="dxa"/>
            <w:shd w:val="clear" w:color="auto" w:fill="auto"/>
          </w:tcPr>
          <w:p w:rsidR="00472D61" w:rsidRPr="00076CE1" w:rsidRDefault="00E56C9A" w:rsidP="00472D61">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14.</w:t>
            </w:r>
            <w:r>
              <w:rPr>
                <w:rFonts w:ascii="Arial" w:eastAsia="Arial Unicode MS" w:hAnsi="Arial" w:cs="Arial"/>
                <w:sz w:val="20"/>
                <w:szCs w:val="18"/>
              </w:rPr>
              <w:t>4</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0.6</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Group transfers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0.</w:t>
            </w:r>
            <w:r>
              <w:rPr>
                <w:rFonts w:ascii="Arial" w:eastAsia="Arial Unicode MS" w:hAnsi="Arial" w:cs="Arial"/>
                <w:sz w:val="20"/>
                <w:szCs w:val="18"/>
              </w:rPr>
              <w:t>6</w:t>
            </w:r>
          </w:p>
        </w:tc>
      </w:tr>
      <w:tr w:rsidR="00B368D6" w:rsidTr="00105290">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0"/>
              </w:rPr>
              <w:t>12.5</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15.7</w:t>
            </w:r>
          </w:p>
        </w:tc>
      </w:tr>
    </w:tbl>
    <w:p w:rsidR="00DC78E9" w:rsidRPr="00076CE1" w:rsidRDefault="00E56C9A" w:rsidP="00DC78E9">
      <w:pPr>
        <w:autoSpaceDE w:val="0"/>
        <w:autoSpaceDN w:val="0"/>
        <w:adjustRightInd w:val="0"/>
        <w:jc w:val="both"/>
        <w:rPr>
          <w:rFonts w:ascii="Arial" w:eastAsia="Arial Unicode MS" w:hAnsi="Arial" w:cs="Arial"/>
          <w:b/>
          <w:color w:val="000000"/>
          <w:sz w:val="28"/>
          <w:szCs w:val="22"/>
        </w:rPr>
      </w:pPr>
    </w:p>
    <w:p w:rsidR="00DC78E9" w:rsidRPr="00076CE1" w:rsidRDefault="00E56C9A" w:rsidP="00DC78E9">
      <w:pPr>
        <w:numPr>
          <w:ilvl w:val="0"/>
          <w:numId w:val="7"/>
        </w:numPr>
        <w:autoSpaceDE w:val="0"/>
        <w:autoSpaceDN w:val="0"/>
        <w:adjustRightInd w:val="0"/>
        <w:ind w:left="862" w:hanging="862"/>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MANAGEMENT EXPENSES</w:t>
      </w:r>
    </w:p>
    <w:p w:rsidR="00DC78E9" w:rsidRPr="00076CE1" w:rsidRDefault="00E56C9A" w:rsidP="00DC78E9">
      <w:pPr>
        <w:autoSpaceDE w:val="0"/>
        <w:autoSpaceDN w:val="0"/>
        <w:adjustRightInd w:val="0"/>
        <w:jc w:val="both"/>
        <w:rPr>
          <w:rFonts w:ascii="Arial" w:eastAsia="Arial Unicode MS" w:hAnsi="Arial" w:cs="Arial"/>
          <w:b/>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303FE">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2015/16</w:t>
            </w:r>
          </w:p>
        </w:tc>
        <w:tc>
          <w:tcPr>
            <w:tcW w:w="6221" w:type="dxa"/>
            <w:tcBorders>
              <w:bottom w:val="nil"/>
            </w:tcBorders>
            <w:shd w:val="clear" w:color="auto" w:fill="E7E6E6" w:themeFill="background2"/>
          </w:tcPr>
          <w:p w:rsidR="00DC78E9" w:rsidRPr="00076CE1" w:rsidRDefault="00E56C9A" w:rsidP="00105290">
            <w:pPr>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303FE">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2016/17</w:t>
            </w:r>
          </w:p>
        </w:tc>
      </w:tr>
      <w:tr w:rsidR="00B368D6" w:rsidTr="00105290">
        <w:trPr>
          <w:trHeight w:val="266"/>
        </w:trPr>
        <w:tc>
          <w:tcPr>
            <w:tcW w:w="1717"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AC2AD6">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4.1</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Fund administrative costs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B8439D">
              <w:rPr>
                <w:rFonts w:ascii="Arial" w:eastAsia="Arial Unicode MS" w:hAnsi="Arial" w:cs="Arial"/>
                <w:sz w:val="20"/>
                <w:szCs w:val="18"/>
              </w:rPr>
              <w:t>3.2</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32.5</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Investment management expenses</w:t>
            </w:r>
            <w:r w:rsidRPr="00B8439D">
              <w:rPr>
                <w:rFonts w:ascii="Arial" w:eastAsia="Arial Unicode MS" w:hAnsi="Arial" w:cs="Arial"/>
                <w:color w:val="000000"/>
                <w:sz w:val="20"/>
                <w:szCs w:val="20"/>
                <w:vertAlign w:val="superscript"/>
              </w:rPr>
              <w:t>1</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42.7</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8.7</w:t>
            </w:r>
          </w:p>
        </w:tc>
        <w:tc>
          <w:tcPr>
            <w:tcW w:w="6221" w:type="dxa"/>
            <w:shd w:val="clear" w:color="auto" w:fill="auto"/>
          </w:tcPr>
          <w:p w:rsidR="00DC78E9" w:rsidRPr="00076CE1" w:rsidRDefault="00E56C9A" w:rsidP="00B8439D">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Oversight and governance costs</w:t>
            </w:r>
            <w:r w:rsidRPr="00B8439D">
              <w:rPr>
                <w:rFonts w:ascii="Arial" w:eastAsia="Arial Unicode MS" w:hAnsi="Arial" w:cs="Arial"/>
                <w:color w:val="000000"/>
                <w:sz w:val="20"/>
                <w:szCs w:val="20"/>
                <w:vertAlign w:val="superscript"/>
              </w:rPr>
              <w:t>2</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3.7</w:t>
            </w:r>
          </w:p>
        </w:tc>
      </w:tr>
      <w:tr w:rsidR="00B368D6" w:rsidTr="00105290">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0"/>
              </w:rPr>
              <w:t>45.3</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49</w:t>
            </w:r>
            <w:r w:rsidRPr="00076CE1">
              <w:rPr>
                <w:rFonts w:ascii="Arial" w:eastAsia="Arial Unicode MS" w:hAnsi="Arial" w:cs="Arial"/>
                <w:b/>
                <w:sz w:val="20"/>
                <w:szCs w:val="18"/>
              </w:rPr>
              <w:t>.6</w:t>
            </w:r>
          </w:p>
        </w:tc>
      </w:tr>
    </w:tbl>
    <w:p w:rsidR="00DC78E9" w:rsidRPr="00076CE1" w:rsidRDefault="00E56C9A" w:rsidP="00DC78E9">
      <w:pPr>
        <w:autoSpaceDE w:val="0"/>
        <w:autoSpaceDN w:val="0"/>
        <w:adjustRightInd w:val="0"/>
        <w:jc w:val="both"/>
        <w:rPr>
          <w:rFonts w:ascii="Arial" w:eastAsia="Arial Unicode MS" w:hAnsi="Arial" w:cs="Arial"/>
          <w:b/>
          <w:color w:val="000000"/>
          <w:sz w:val="22"/>
          <w:szCs w:val="22"/>
        </w:rPr>
      </w:pPr>
    </w:p>
    <w:p w:rsidR="00B8439D" w:rsidRPr="00B8439D" w:rsidRDefault="00E56C9A" w:rsidP="00DC78E9">
      <w:pPr>
        <w:autoSpaceDE w:val="0"/>
        <w:autoSpaceDN w:val="0"/>
        <w:adjustRightInd w:val="0"/>
        <w:spacing w:line="231" w:lineRule="atLeast"/>
        <w:jc w:val="both"/>
        <w:rPr>
          <w:rFonts w:ascii="Arial" w:eastAsia="Arial Unicode MS" w:hAnsi="Arial" w:cs="Arial"/>
          <w:sz w:val="22"/>
          <w:szCs w:val="22"/>
          <w:lang w:eastAsia="en-GB"/>
        </w:rPr>
      </w:pPr>
      <w:r>
        <w:rPr>
          <w:rFonts w:ascii="Arial" w:eastAsia="Arial Unicode MS" w:hAnsi="Arial" w:cs="Arial"/>
          <w:sz w:val="22"/>
          <w:szCs w:val="22"/>
          <w:vertAlign w:val="superscript"/>
          <w:lang w:eastAsia="en-GB"/>
        </w:rPr>
        <w:t>1</w:t>
      </w:r>
      <w:r>
        <w:rPr>
          <w:rFonts w:ascii="Arial" w:eastAsia="Arial Unicode MS" w:hAnsi="Arial" w:cs="Arial"/>
          <w:sz w:val="22"/>
          <w:szCs w:val="22"/>
          <w:lang w:eastAsia="en-GB"/>
        </w:rPr>
        <w:t xml:space="preserve">Included within investment management expenses for the year ended 31 March 2017 are costs of the transition of equities to the LPP Global Equities Fund, </w:t>
      </w:r>
      <w:r>
        <w:rPr>
          <w:rFonts w:ascii="Arial" w:eastAsia="Arial Unicode MS" w:hAnsi="Arial" w:cs="Arial"/>
          <w:sz w:val="22"/>
          <w:szCs w:val="22"/>
          <w:lang w:eastAsia="en-GB"/>
        </w:rPr>
        <w:t xml:space="preserve">paid to the transition manager and </w:t>
      </w:r>
      <w:r>
        <w:rPr>
          <w:rFonts w:ascii="Arial" w:eastAsia="Arial Unicode MS" w:hAnsi="Arial" w:cs="Arial"/>
          <w:sz w:val="22"/>
          <w:szCs w:val="22"/>
          <w:lang w:eastAsia="en-GB"/>
        </w:rPr>
        <w:t xml:space="preserve">amounting </w:t>
      </w:r>
      <w:r w:rsidRPr="0096061B">
        <w:rPr>
          <w:rFonts w:ascii="Arial" w:eastAsia="Arial Unicode MS" w:hAnsi="Arial" w:cs="Arial"/>
          <w:sz w:val="22"/>
          <w:szCs w:val="22"/>
          <w:lang w:eastAsia="en-GB"/>
        </w:rPr>
        <w:t>to £</w:t>
      </w:r>
      <w:proofErr w:type="gramStart"/>
      <w:r w:rsidRPr="0096061B">
        <w:rPr>
          <w:rFonts w:ascii="Arial" w:eastAsia="Arial Unicode MS" w:hAnsi="Arial" w:cs="Arial"/>
          <w:sz w:val="22"/>
          <w:szCs w:val="22"/>
          <w:lang w:eastAsia="en-GB"/>
        </w:rPr>
        <w:t>2.0m</w:t>
      </w:r>
      <w:r w:rsidRPr="0096061B">
        <w:rPr>
          <w:rFonts w:ascii="Arial" w:eastAsia="Arial Unicode MS" w:hAnsi="Arial" w:cs="Arial"/>
          <w:sz w:val="22"/>
          <w:szCs w:val="22"/>
          <w:lang w:eastAsia="en-GB"/>
        </w:rPr>
        <w:t xml:space="preserve"> .</w:t>
      </w:r>
      <w:proofErr w:type="gramEnd"/>
    </w:p>
    <w:p w:rsidR="00DC78E9" w:rsidRPr="00076CE1" w:rsidRDefault="00E56C9A" w:rsidP="00DC78E9">
      <w:pPr>
        <w:autoSpaceDE w:val="0"/>
        <w:autoSpaceDN w:val="0"/>
        <w:adjustRightInd w:val="0"/>
        <w:spacing w:line="231" w:lineRule="atLeast"/>
        <w:jc w:val="both"/>
        <w:rPr>
          <w:rFonts w:ascii="Arial" w:eastAsia="Arial Unicode MS" w:hAnsi="Arial" w:cs="Arial"/>
          <w:sz w:val="22"/>
          <w:szCs w:val="22"/>
          <w:lang w:eastAsia="en-GB"/>
        </w:rPr>
      </w:pPr>
      <w:r w:rsidRPr="00B8439D">
        <w:rPr>
          <w:rFonts w:ascii="Arial" w:eastAsia="Arial Unicode MS" w:hAnsi="Arial" w:cs="Arial"/>
          <w:sz w:val="22"/>
          <w:szCs w:val="22"/>
          <w:vertAlign w:val="superscript"/>
          <w:lang w:eastAsia="en-GB"/>
        </w:rPr>
        <w:t>2</w:t>
      </w:r>
      <w:r w:rsidRPr="00076CE1">
        <w:rPr>
          <w:rFonts w:ascii="Arial" w:eastAsia="Arial Unicode MS" w:hAnsi="Arial" w:cs="Arial"/>
          <w:sz w:val="22"/>
          <w:szCs w:val="22"/>
          <w:lang w:eastAsia="en-GB"/>
        </w:rPr>
        <w:t>Oversight and governance costs above include e</w:t>
      </w:r>
      <w:r w:rsidRPr="00076CE1">
        <w:rPr>
          <w:rFonts w:ascii="Arial" w:eastAsia="Arial Unicode MS" w:hAnsi="Arial" w:cs="Arial"/>
          <w:sz w:val="22"/>
          <w:szCs w:val="22"/>
          <w:lang w:eastAsia="en-GB"/>
        </w:rPr>
        <w:t>xternal audit fees which amounted to £34,169 (2015/16: £34,169)</w:t>
      </w:r>
    </w:p>
    <w:p w:rsidR="00DC78E9" w:rsidRPr="00076CE1" w:rsidRDefault="00E56C9A" w:rsidP="00DC78E9">
      <w:pPr>
        <w:autoSpaceDE w:val="0"/>
        <w:autoSpaceDN w:val="0"/>
        <w:adjustRightInd w:val="0"/>
        <w:spacing w:line="231" w:lineRule="atLeast"/>
        <w:jc w:val="both"/>
        <w:rPr>
          <w:rFonts w:ascii="Arial" w:eastAsia="Arial Unicode MS" w:hAnsi="Arial" w:cs="Arial"/>
          <w:sz w:val="22"/>
          <w:szCs w:val="22"/>
          <w:lang w:eastAsia="en-GB"/>
        </w:rPr>
      </w:pPr>
    </w:p>
    <w:p w:rsidR="00DC78E9" w:rsidRPr="00076CE1" w:rsidRDefault="00E56C9A" w:rsidP="00DC78E9">
      <w:pPr>
        <w:jc w:val="both"/>
        <w:rPr>
          <w:rFonts w:ascii="Arial" w:eastAsia="Arial Unicode MS" w:hAnsi="Arial" w:cs="Arial"/>
          <w:b/>
          <w:color w:val="000000"/>
          <w:sz w:val="32"/>
          <w:szCs w:val="22"/>
        </w:rPr>
      </w:pPr>
      <w:r>
        <w:rPr>
          <w:rFonts w:ascii="Arial" w:eastAsia="Arial Unicode MS" w:hAnsi="Arial" w:cs="Arial"/>
          <w:b/>
          <w:color w:val="000000"/>
          <w:sz w:val="32"/>
          <w:szCs w:val="22"/>
        </w:rPr>
        <w:t>10</w:t>
      </w:r>
      <w:r w:rsidRPr="00076CE1">
        <w:rPr>
          <w:rFonts w:ascii="Arial" w:eastAsia="Arial Unicode MS" w:hAnsi="Arial" w:cs="Arial"/>
          <w:b/>
          <w:color w:val="000000"/>
          <w:sz w:val="32"/>
          <w:szCs w:val="22"/>
        </w:rPr>
        <w:t>.1</w:t>
      </w:r>
      <w:r w:rsidRPr="00076CE1">
        <w:rPr>
          <w:rFonts w:ascii="Arial" w:eastAsia="Arial Unicode MS" w:hAnsi="Arial" w:cs="Arial"/>
          <w:color w:val="000000"/>
          <w:sz w:val="32"/>
          <w:szCs w:val="22"/>
        </w:rPr>
        <w:t xml:space="preserve"> </w:t>
      </w:r>
      <w:r w:rsidRPr="00076CE1">
        <w:rPr>
          <w:rFonts w:ascii="Arial" w:eastAsia="Arial Unicode MS" w:hAnsi="Arial" w:cs="Arial"/>
          <w:b/>
          <w:color w:val="000000"/>
          <w:sz w:val="32"/>
          <w:szCs w:val="22"/>
        </w:rPr>
        <w:tab/>
        <w:t>Investment management expenses</w:t>
      </w:r>
    </w:p>
    <w:p w:rsidR="00DC78E9" w:rsidRPr="00076CE1" w:rsidRDefault="00E56C9A" w:rsidP="00DC78E9">
      <w:pPr>
        <w:jc w:val="both"/>
        <w:rPr>
          <w:rFonts w:ascii="Arial" w:eastAsia="Arial Unicode MS" w:hAnsi="Arial" w:cs="Arial"/>
          <w:b/>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303FE">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2015/16</w:t>
            </w:r>
          </w:p>
        </w:tc>
        <w:tc>
          <w:tcPr>
            <w:tcW w:w="6221" w:type="dxa"/>
            <w:tcBorders>
              <w:bottom w:val="nil"/>
            </w:tcBorders>
            <w:shd w:val="clear" w:color="auto" w:fill="E7E6E6" w:themeFill="background2"/>
          </w:tcPr>
          <w:p w:rsidR="00DC78E9" w:rsidRPr="00076CE1" w:rsidRDefault="00E56C9A" w:rsidP="00105290">
            <w:pPr>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303FE">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2016/17</w:t>
            </w:r>
          </w:p>
        </w:tc>
      </w:tr>
      <w:tr w:rsidR="00B368D6" w:rsidTr="00105290">
        <w:trPr>
          <w:trHeight w:val="266"/>
        </w:trPr>
        <w:tc>
          <w:tcPr>
            <w:tcW w:w="1717"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AC2AD6">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076CE1">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1.5</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Transaction costs</w:t>
            </w:r>
          </w:p>
        </w:tc>
        <w:tc>
          <w:tcPr>
            <w:tcW w:w="1701" w:type="dxa"/>
            <w:shd w:val="clear" w:color="auto" w:fill="auto"/>
          </w:tcPr>
          <w:p w:rsidR="00DC78E9" w:rsidRPr="001303FE" w:rsidRDefault="00E56C9A" w:rsidP="00105290">
            <w:pPr>
              <w:tabs>
                <w:tab w:val="left" w:pos="2160"/>
                <w:tab w:val="left" w:pos="6885"/>
              </w:tabs>
              <w:spacing w:after="60"/>
              <w:jc w:val="right"/>
              <w:rPr>
                <w:rFonts w:ascii="Arial" w:eastAsia="Arial Unicode MS" w:hAnsi="Arial" w:cs="Arial"/>
                <w:sz w:val="20"/>
                <w:szCs w:val="18"/>
                <w:highlight w:val="yellow"/>
              </w:rPr>
            </w:pPr>
            <w:r w:rsidRPr="0096061B">
              <w:rPr>
                <w:rFonts w:ascii="Arial" w:eastAsia="Arial Unicode MS" w:hAnsi="Arial" w:cs="Arial"/>
                <w:sz w:val="20"/>
                <w:szCs w:val="18"/>
              </w:rPr>
              <w:t>1.6</w:t>
            </w:r>
          </w:p>
        </w:tc>
      </w:tr>
      <w:tr w:rsidR="00B368D6" w:rsidTr="00076CE1">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27.9</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Fund value based management fees</w:t>
            </w:r>
            <w:r w:rsidRPr="009A2948">
              <w:rPr>
                <w:rFonts w:ascii="Arial" w:eastAsia="Arial Unicode MS" w:hAnsi="Arial" w:cs="Arial"/>
                <w:color w:val="000000"/>
                <w:sz w:val="20"/>
                <w:szCs w:val="20"/>
                <w:vertAlign w:val="superscript"/>
              </w:rPr>
              <w:t>1</w:t>
            </w:r>
          </w:p>
        </w:tc>
        <w:tc>
          <w:tcPr>
            <w:tcW w:w="1701" w:type="dxa"/>
            <w:shd w:val="clear" w:color="auto" w:fill="auto"/>
          </w:tcPr>
          <w:p w:rsidR="00DC78E9" w:rsidRPr="0096061B" w:rsidRDefault="00E56C9A" w:rsidP="0096061B">
            <w:pPr>
              <w:tabs>
                <w:tab w:val="left" w:pos="2160"/>
                <w:tab w:val="left" w:pos="6885"/>
              </w:tabs>
              <w:spacing w:after="60"/>
              <w:jc w:val="right"/>
              <w:rPr>
                <w:rFonts w:ascii="Arial" w:eastAsia="Arial Unicode MS" w:hAnsi="Arial" w:cs="Arial"/>
                <w:sz w:val="20"/>
                <w:szCs w:val="18"/>
              </w:rPr>
            </w:pPr>
            <w:r w:rsidRPr="0096061B">
              <w:rPr>
                <w:rFonts w:ascii="Arial" w:eastAsia="Arial Unicode MS" w:hAnsi="Arial" w:cs="Arial"/>
                <w:sz w:val="20"/>
                <w:szCs w:val="18"/>
              </w:rPr>
              <w:t>31</w:t>
            </w:r>
            <w:r w:rsidRPr="0096061B">
              <w:rPr>
                <w:rFonts w:ascii="Arial" w:eastAsia="Arial Unicode MS" w:hAnsi="Arial" w:cs="Arial"/>
                <w:sz w:val="20"/>
                <w:szCs w:val="18"/>
              </w:rPr>
              <w:t>.8</w:t>
            </w:r>
          </w:p>
        </w:tc>
      </w:tr>
      <w:tr w:rsidR="00B368D6" w:rsidTr="00076CE1">
        <w:trPr>
          <w:trHeight w:val="431"/>
        </w:trPr>
        <w:tc>
          <w:tcPr>
            <w:tcW w:w="1717" w:type="dxa"/>
            <w:shd w:val="clear" w:color="auto" w:fill="auto"/>
          </w:tcPr>
          <w:p w:rsidR="0096061B" w:rsidRPr="00076CE1" w:rsidRDefault="00E56C9A" w:rsidP="00105290">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w:t>
            </w:r>
          </w:p>
        </w:tc>
        <w:tc>
          <w:tcPr>
            <w:tcW w:w="6221" w:type="dxa"/>
            <w:shd w:val="clear" w:color="auto" w:fill="auto"/>
          </w:tcPr>
          <w:p w:rsidR="0096061B" w:rsidRPr="00076CE1" w:rsidRDefault="00E56C9A" w:rsidP="00105290">
            <w:pPr>
              <w:tabs>
                <w:tab w:val="left" w:pos="1455"/>
                <w:tab w:val="left" w:pos="5040"/>
                <w:tab w:val="left" w:pos="6885"/>
              </w:tabs>
              <w:spacing w:after="120"/>
              <w:jc w:val="both"/>
              <w:rPr>
                <w:rFonts w:ascii="Arial" w:eastAsia="Arial Unicode MS" w:hAnsi="Arial" w:cs="Arial"/>
                <w:color w:val="000000"/>
                <w:sz w:val="20"/>
                <w:szCs w:val="20"/>
              </w:rPr>
            </w:pPr>
            <w:r>
              <w:rPr>
                <w:rFonts w:ascii="Arial" w:eastAsia="Arial Unicode MS" w:hAnsi="Arial" w:cs="Arial"/>
                <w:color w:val="000000"/>
                <w:sz w:val="20"/>
                <w:szCs w:val="20"/>
              </w:rPr>
              <w:t>Cost of global equities transition</w:t>
            </w:r>
          </w:p>
        </w:tc>
        <w:tc>
          <w:tcPr>
            <w:tcW w:w="1701" w:type="dxa"/>
            <w:shd w:val="clear" w:color="auto" w:fill="auto"/>
          </w:tcPr>
          <w:p w:rsidR="0096061B"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2.0</w:t>
            </w:r>
          </w:p>
        </w:tc>
      </w:tr>
      <w:tr w:rsidR="00B368D6" w:rsidTr="00076CE1">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2.9</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Performance related fees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7.1</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0.2</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Custody fees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0.2</w:t>
            </w:r>
          </w:p>
        </w:tc>
      </w:tr>
      <w:tr w:rsidR="00B368D6" w:rsidTr="00105290">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0"/>
              </w:rPr>
              <w:t>32.5</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42.7</w:t>
            </w:r>
          </w:p>
        </w:tc>
      </w:tr>
    </w:tbl>
    <w:p w:rsidR="00DC78E9" w:rsidRDefault="00E56C9A" w:rsidP="00DC78E9">
      <w:pPr>
        <w:jc w:val="both"/>
        <w:rPr>
          <w:rFonts w:ascii="Arial" w:eastAsia="Arial Unicode MS" w:hAnsi="Arial" w:cs="Arial"/>
          <w:b/>
          <w:color w:val="000000"/>
          <w:sz w:val="22"/>
          <w:szCs w:val="22"/>
        </w:rPr>
      </w:pPr>
    </w:p>
    <w:p w:rsidR="0096061B" w:rsidRDefault="00E56C9A" w:rsidP="00DC78E9">
      <w:pPr>
        <w:jc w:val="both"/>
        <w:rPr>
          <w:rFonts w:ascii="Arial" w:eastAsia="Arial Unicode MS" w:hAnsi="Arial" w:cs="Arial"/>
          <w:color w:val="000000"/>
          <w:sz w:val="22"/>
          <w:szCs w:val="22"/>
        </w:rPr>
      </w:pPr>
      <w:r w:rsidRPr="009A2948">
        <w:rPr>
          <w:rFonts w:ascii="Arial" w:eastAsia="Arial Unicode MS" w:hAnsi="Arial" w:cs="Arial"/>
          <w:color w:val="000000"/>
          <w:sz w:val="22"/>
          <w:szCs w:val="22"/>
          <w:vertAlign w:val="superscript"/>
        </w:rPr>
        <w:t>1</w:t>
      </w:r>
      <w:r>
        <w:rPr>
          <w:rFonts w:ascii="Arial" w:eastAsia="Arial Unicode MS" w:hAnsi="Arial" w:cs="Arial"/>
          <w:color w:val="000000"/>
          <w:sz w:val="22"/>
          <w:szCs w:val="22"/>
        </w:rPr>
        <w:t xml:space="preserve"> Fund value based management fees include costs invoiced directly to the Fund by investment managers and fees accounted for </w:t>
      </w:r>
      <w:r>
        <w:rPr>
          <w:rFonts w:ascii="Arial" w:eastAsia="Arial Unicode MS" w:hAnsi="Arial" w:cs="Arial"/>
          <w:color w:val="000000"/>
          <w:sz w:val="22"/>
          <w:szCs w:val="22"/>
        </w:rPr>
        <w:t xml:space="preserve">by investment managers </w:t>
      </w:r>
      <w:r>
        <w:rPr>
          <w:rFonts w:ascii="Arial" w:eastAsia="Arial Unicode MS" w:hAnsi="Arial" w:cs="Arial"/>
          <w:color w:val="000000"/>
          <w:sz w:val="22"/>
          <w:szCs w:val="22"/>
        </w:rPr>
        <w:t xml:space="preserve">within net asset value and recognised in </w:t>
      </w:r>
      <w:r>
        <w:rPr>
          <w:rFonts w:ascii="Arial" w:eastAsia="Arial Unicode MS" w:hAnsi="Arial" w:cs="Arial"/>
          <w:color w:val="000000"/>
          <w:sz w:val="22"/>
          <w:szCs w:val="22"/>
        </w:rPr>
        <w:t>the fund account</w:t>
      </w:r>
      <w:r>
        <w:rPr>
          <w:rFonts w:ascii="Arial" w:eastAsia="Arial Unicode MS" w:hAnsi="Arial" w:cs="Arial"/>
          <w:color w:val="000000"/>
          <w:sz w:val="22"/>
          <w:szCs w:val="22"/>
        </w:rPr>
        <w:t xml:space="preserve"> </w:t>
      </w:r>
      <w:r>
        <w:rPr>
          <w:rFonts w:ascii="Arial" w:eastAsia="Arial Unicode MS" w:hAnsi="Arial" w:cs="Arial"/>
          <w:color w:val="000000"/>
          <w:sz w:val="22"/>
          <w:szCs w:val="22"/>
        </w:rPr>
        <w:t xml:space="preserve">in accordance with CIPFA 2016 guidance on accounting for </w:t>
      </w:r>
      <w:r>
        <w:rPr>
          <w:rFonts w:ascii="Arial" w:eastAsia="Arial Unicode MS" w:hAnsi="Arial" w:cs="Arial"/>
          <w:color w:val="000000"/>
          <w:sz w:val="22"/>
          <w:szCs w:val="22"/>
        </w:rPr>
        <w:t xml:space="preserve">local </w:t>
      </w:r>
      <w:r>
        <w:rPr>
          <w:rFonts w:ascii="Arial" w:eastAsia="Arial Unicode MS" w:hAnsi="Arial" w:cs="Arial"/>
          <w:color w:val="000000"/>
          <w:sz w:val="22"/>
          <w:szCs w:val="22"/>
        </w:rPr>
        <w:t xml:space="preserve">government pension scheme management expenses.  </w:t>
      </w:r>
      <w:r>
        <w:rPr>
          <w:rFonts w:ascii="Arial" w:eastAsia="Arial Unicode MS" w:hAnsi="Arial" w:cs="Arial"/>
          <w:color w:val="000000"/>
          <w:sz w:val="22"/>
          <w:szCs w:val="22"/>
        </w:rPr>
        <w:t>Fees are charged as a percentage of the value of assets held by each manager.</w:t>
      </w: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In addition to these costs, indirect costs are in</w:t>
      </w:r>
      <w:r w:rsidRPr="00076CE1">
        <w:rPr>
          <w:rFonts w:ascii="Arial" w:eastAsia="Arial Unicode MS" w:hAnsi="Arial" w:cs="Arial"/>
          <w:color w:val="000000"/>
          <w:sz w:val="22"/>
          <w:szCs w:val="22"/>
        </w:rPr>
        <w:t>curred through the bid-offer spread on investments sales and purchases. These are reflected in the cost of investment acquisitions and in the proceeds from the sales of investments.</w:t>
      </w:r>
    </w:p>
    <w:p w:rsidR="00872428" w:rsidRPr="00076CE1" w:rsidRDefault="00E56C9A" w:rsidP="00DC78E9">
      <w:pPr>
        <w:autoSpaceDE w:val="0"/>
        <w:autoSpaceDN w:val="0"/>
        <w:adjustRightInd w:val="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166C7">
      <w:pPr>
        <w:numPr>
          <w:ilvl w:val="0"/>
          <w:numId w:val="20"/>
        </w:numPr>
        <w:autoSpaceDE w:val="0"/>
        <w:autoSpaceDN w:val="0"/>
        <w:adjustRightInd w:val="0"/>
        <w:jc w:val="both"/>
        <w:rPr>
          <w:rFonts w:ascii="Arial" w:eastAsia="Arial Unicode MS" w:hAnsi="Arial" w:cs="Arial"/>
          <w:color w:val="000000"/>
          <w:sz w:val="32"/>
          <w:szCs w:val="22"/>
        </w:rPr>
      </w:pPr>
      <w:r w:rsidRPr="00076CE1">
        <w:rPr>
          <w:rFonts w:ascii="Arial" w:eastAsia="Arial Unicode MS" w:hAnsi="Arial" w:cs="Arial"/>
          <w:b/>
          <w:color w:val="000000"/>
          <w:sz w:val="32"/>
          <w:szCs w:val="22"/>
        </w:rPr>
        <w:t>INVESTMENT INCOME</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303FE">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2015/16</w:t>
            </w:r>
          </w:p>
        </w:tc>
        <w:tc>
          <w:tcPr>
            <w:tcW w:w="6221" w:type="dxa"/>
            <w:tcBorders>
              <w:bottom w:val="nil"/>
            </w:tcBorders>
            <w:shd w:val="clear" w:color="auto" w:fill="E7E6E6" w:themeFill="background2"/>
          </w:tcPr>
          <w:p w:rsidR="00DC78E9" w:rsidRPr="00076CE1" w:rsidRDefault="00E56C9A" w:rsidP="00105290">
            <w:pPr>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303FE">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2016/17</w:t>
            </w:r>
          </w:p>
        </w:tc>
      </w:tr>
      <w:tr w:rsidR="00B368D6" w:rsidTr="00105290">
        <w:trPr>
          <w:trHeight w:val="266"/>
        </w:trPr>
        <w:tc>
          <w:tcPr>
            <w:tcW w:w="1717"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AC2AD6">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3.3</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 xml:space="preserve">Fixed interest </w:t>
            </w:r>
            <w:r w:rsidRPr="00076CE1">
              <w:rPr>
                <w:rFonts w:ascii="Arial" w:eastAsia="Arial Unicode MS" w:hAnsi="Arial" w:cs="Arial"/>
                <w:color w:val="000000"/>
                <w:sz w:val="20"/>
                <w:szCs w:val="20"/>
              </w:rPr>
              <w:t>securities</w:t>
            </w:r>
          </w:p>
        </w:tc>
        <w:tc>
          <w:tcPr>
            <w:tcW w:w="1701" w:type="dxa"/>
            <w:shd w:val="clear" w:color="auto" w:fill="auto"/>
          </w:tcPr>
          <w:p w:rsidR="00DC78E9" w:rsidRPr="00076CE1" w:rsidRDefault="00E56C9A" w:rsidP="00415C22">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1.</w:t>
            </w:r>
            <w:r w:rsidRPr="00076CE1">
              <w:rPr>
                <w:rFonts w:ascii="Arial" w:eastAsia="Arial Unicode MS" w:hAnsi="Arial" w:cs="Arial"/>
                <w:sz w:val="20"/>
                <w:szCs w:val="18"/>
              </w:rPr>
              <w:t>4</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41.6</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Equity dividends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32.0</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1.1</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Index linked securities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1.5</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color w:val="000000"/>
                <w:sz w:val="20"/>
                <w:szCs w:val="20"/>
              </w:rPr>
              <w:t>15.2</w:t>
            </w:r>
          </w:p>
        </w:tc>
        <w:tc>
          <w:tcPr>
            <w:tcW w:w="6221" w:type="dxa"/>
            <w:shd w:val="clear" w:color="auto" w:fill="auto"/>
          </w:tcPr>
          <w:p w:rsidR="00DC78E9" w:rsidRPr="00076CE1" w:rsidRDefault="00E56C9A" w:rsidP="000476FA">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Pooled investment vehicles</w:t>
            </w:r>
          </w:p>
        </w:tc>
        <w:tc>
          <w:tcPr>
            <w:tcW w:w="1701" w:type="dxa"/>
            <w:shd w:val="clear" w:color="auto" w:fill="auto"/>
          </w:tcPr>
          <w:p w:rsidR="00DC78E9" w:rsidRPr="00076CE1" w:rsidRDefault="00E56C9A" w:rsidP="009F25C8">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34.1</w:t>
            </w:r>
          </w:p>
        </w:tc>
      </w:tr>
      <w:tr w:rsidR="00B368D6" w:rsidTr="00C12976">
        <w:trPr>
          <w:trHeight w:val="431"/>
        </w:trPr>
        <w:tc>
          <w:tcPr>
            <w:tcW w:w="1717" w:type="dxa"/>
            <w:shd w:val="clear" w:color="auto" w:fill="auto"/>
          </w:tcPr>
          <w:p w:rsidR="00B804A8" w:rsidRPr="00076CE1" w:rsidRDefault="00E56C9A" w:rsidP="00105290">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7.1</w:t>
            </w:r>
          </w:p>
        </w:tc>
        <w:tc>
          <w:tcPr>
            <w:tcW w:w="6221" w:type="dxa"/>
            <w:shd w:val="clear" w:color="auto" w:fill="auto"/>
          </w:tcPr>
          <w:p w:rsidR="00B804A8" w:rsidRPr="00076CE1" w:rsidRDefault="00E56C9A" w:rsidP="00105290">
            <w:pPr>
              <w:tabs>
                <w:tab w:val="left" w:pos="1455"/>
                <w:tab w:val="left" w:pos="5040"/>
                <w:tab w:val="left" w:pos="6885"/>
              </w:tabs>
              <w:spacing w:after="120"/>
              <w:jc w:val="both"/>
              <w:rPr>
                <w:rFonts w:ascii="Arial" w:eastAsia="Arial Unicode MS" w:hAnsi="Arial" w:cs="Arial"/>
                <w:color w:val="000000"/>
                <w:sz w:val="20"/>
                <w:szCs w:val="20"/>
              </w:rPr>
            </w:pPr>
            <w:r>
              <w:rPr>
                <w:rFonts w:ascii="Arial" w:eastAsia="Arial Unicode MS" w:hAnsi="Arial" w:cs="Arial"/>
                <w:color w:val="000000"/>
                <w:sz w:val="20"/>
                <w:szCs w:val="20"/>
              </w:rPr>
              <w:t>Pooled property investments</w:t>
            </w:r>
          </w:p>
        </w:tc>
        <w:tc>
          <w:tcPr>
            <w:tcW w:w="1701" w:type="dxa"/>
            <w:shd w:val="clear" w:color="auto" w:fill="auto"/>
          </w:tcPr>
          <w:p w:rsidR="00B804A8" w:rsidRPr="00076CE1" w:rsidRDefault="00E56C9A" w:rsidP="00C12976">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11.2</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29.2</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Net rents from properties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28.2</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0.5</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Interest on cash deposits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0.7</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1.1</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Other</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0.8</w:t>
            </w:r>
          </w:p>
        </w:tc>
      </w:tr>
      <w:tr w:rsidR="00B368D6" w:rsidTr="00105290">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0"/>
              </w:rPr>
              <w:t>99.1</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b/>
                <w:sz w:val="20"/>
                <w:szCs w:val="18"/>
              </w:rPr>
            </w:pPr>
            <w:r w:rsidRPr="00076CE1">
              <w:rPr>
                <w:rFonts w:ascii="Arial" w:eastAsia="Arial Unicode MS" w:hAnsi="Arial" w:cs="Arial"/>
                <w:b/>
                <w:sz w:val="20"/>
                <w:szCs w:val="18"/>
              </w:rPr>
              <w:t xml:space="preserve">Total </w:t>
            </w:r>
            <w:r w:rsidRPr="00076CE1">
              <w:rPr>
                <w:rFonts w:ascii="Arial" w:eastAsia="Arial Unicode MS" w:hAnsi="Arial" w:cs="Arial"/>
                <w:b/>
                <w:sz w:val="20"/>
                <w:szCs w:val="18"/>
              </w:rPr>
              <w:t>before taxes</w:t>
            </w: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109.9</w:t>
            </w:r>
          </w:p>
        </w:tc>
      </w:tr>
    </w:tbl>
    <w:p w:rsidR="00DC78E9" w:rsidRDefault="00E56C9A" w:rsidP="00DC78E9">
      <w:pPr>
        <w:autoSpaceDE w:val="0"/>
        <w:autoSpaceDN w:val="0"/>
        <w:adjustRightInd w:val="0"/>
        <w:ind w:left="720"/>
        <w:jc w:val="both"/>
        <w:rPr>
          <w:rFonts w:ascii="Arial" w:eastAsia="Arial Unicode MS" w:hAnsi="Arial" w:cs="Arial"/>
          <w:color w:val="000000"/>
          <w:sz w:val="22"/>
          <w:szCs w:val="22"/>
        </w:rPr>
      </w:pPr>
    </w:p>
    <w:p w:rsidR="00B804A8"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numPr>
          <w:ilvl w:val="0"/>
          <w:numId w:val="20"/>
        </w:numPr>
        <w:autoSpaceDE w:val="0"/>
        <w:autoSpaceDN w:val="0"/>
        <w:adjustRightInd w:val="0"/>
        <w:ind w:hanging="862"/>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PROPERTY INCOME</w:t>
      </w:r>
    </w:p>
    <w:p w:rsidR="00DC78E9" w:rsidRPr="00076CE1" w:rsidRDefault="00E56C9A" w:rsidP="00DC78E9">
      <w:pPr>
        <w:autoSpaceDE w:val="0"/>
        <w:autoSpaceDN w:val="0"/>
        <w:adjustRightInd w:val="0"/>
        <w:ind w:left="862"/>
        <w:jc w:val="both"/>
        <w:rPr>
          <w:rFonts w:ascii="Arial" w:eastAsia="Arial Unicode MS" w:hAnsi="Arial" w:cs="Arial"/>
          <w:b/>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303FE">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2015/16</w:t>
            </w:r>
          </w:p>
        </w:tc>
        <w:tc>
          <w:tcPr>
            <w:tcW w:w="6221" w:type="dxa"/>
            <w:tcBorders>
              <w:bottom w:val="nil"/>
            </w:tcBorders>
            <w:shd w:val="clear" w:color="auto" w:fill="E7E6E6" w:themeFill="background2"/>
          </w:tcPr>
          <w:p w:rsidR="00DC78E9" w:rsidRPr="00076CE1" w:rsidRDefault="00E56C9A" w:rsidP="00105290">
            <w:pPr>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303FE">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2016/17</w:t>
            </w:r>
          </w:p>
        </w:tc>
      </w:tr>
      <w:tr w:rsidR="00B368D6" w:rsidTr="00105290">
        <w:trPr>
          <w:trHeight w:val="266"/>
        </w:trPr>
        <w:tc>
          <w:tcPr>
            <w:tcW w:w="1717"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AC2AD6">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32.3</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Rental income</w:t>
            </w:r>
          </w:p>
        </w:tc>
        <w:tc>
          <w:tcPr>
            <w:tcW w:w="1701" w:type="dxa"/>
            <w:shd w:val="clear" w:color="auto" w:fill="auto"/>
          </w:tcPr>
          <w:p w:rsidR="009F1CB0" w:rsidRPr="00076CE1" w:rsidRDefault="00E56C9A" w:rsidP="009F1CB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31.3</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lastRenderedPageBreak/>
              <w:t>(3.1)</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Direct operating expenses</w:t>
            </w:r>
          </w:p>
        </w:tc>
        <w:tc>
          <w:tcPr>
            <w:tcW w:w="1701" w:type="dxa"/>
            <w:shd w:val="clear" w:color="auto" w:fill="auto"/>
          </w:tcPr>
          <w:p w:rsidR="00DC78E9" w:rsidRPr="00076CE1" w:rsidRDefault="00E56C9A" w:rsidP="00CB4E9C">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w:t>
            </w:r>
            <w:r w:rsidRPr="00076CE1">
              <w:rPr>
                <w:rFonts w:ascii="Arial" w:eastAsia="Arial Unicode MS" w:hAnsi="Arial" w:cs="Arial"/>
                <w:sz w:val="20"/>
                <w:szCs w:val="18"/>
              </w:rPr>
              <w:t>3</w:t>
            </w:r>
            <w:r w:rsidRPr="00076CE1">
              <w:rPr>
                <w:rFonts w:ascii="Arial" w:eastAsia="Arial Unicode MS" w:hAnsi="Arial" w:cs="Arial"/>
                <w:sz w:val="20"/>
                <w:szCs w:val="18"/>
              </w:rPr>
              <w:t>.</w:t>
            </w:r>
            <w:r w:rsidRPr="00076CE1">
              <w:rPr>
                <w:rFonts w:ascii="Arial" w:eastAsia="Arial Unicode MS" w:hAnsi="Arial" w:cs="Arial"/>
                <w:sz w:val="20"/>
                <w:szCs w:val="18"/>
              </w:rPr>
              <w:t>1</w:t>
            </w:r>
            <w:r w:rsidRPr="00076CE1">
              <w:rPr>
                <w:rFonts w:ascii="Arial" w:eastAsia="Arial Unicode MS" w:hAnsi="Arial" w:cs="Arial"/>
                <w:sz w:val="20"/>
                <w:szCs w:val="18"/>
              </w:rPr>
              <w:t>)</w:t>
            </w:r>
          </w:p>
        </w:tc>
      </w:tr>
      <w:tr w:rsidR="00B368D6" w:rsidTr="00105290">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0"/>
              </w:rPr>
              <w:t>29.2</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b/>
                <w:color w:val="000000"/>
                <w:sz w:val="20"/>
                <w:szCs w:val="20"/>
              </w:rPr>
              <w:t>Net income</w:t>
            </w: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28.2</w:t>
            </w:r>
          </w:p>
        </w:tc>
      </w:tr>
    </w:tbl>
    <w:p w:rsidR="00DC78E9" w:rsidRPr="00076CE1" w:rsidRDefault="00E56C9A" w:rsidP="00DC78E9">
      <w:pPr>
        <w:autoSpaceDE w:val="0"/>
        <w:autoSpaceDN w:val="0"/>
        <w:adjustRightInd w:val="0"/>
        <w:ind w:left="862"/>
        <w:jc w:val="both"/>
        <w:rPr>
          <w:rFonts w:ascii="Arial" w:eastAsia="Arial Unicode MS" w:hAnsi="Arial" w:cs="Arial"/>
          <w:b/>
          <w:color w:val="000000"/>
          <w:sz w:val="22"/>
          <w:szCs w:val="22"/>
        </w:rPr>
      </w:pPr>
    </w:p>
    <w:p w:rsidR="00877934" w:rsidRPr="00076CE1" w:rsidRDefault="00E56C9A" w:rsidP="00877934">
      <w:pPr>
        <w:numPr>
          <w:ilvl w:val="0"/>
          <w:numId w:val="20"/>
        </w:numPr>
        <w:autoSpaceDE w:val="0"/>
        <w:autoSpaceDN w:val="0"/>
        <w:adjustRightInd w:val="0"/>
        <w:ind w:hanging="862"/>
        <w:jc w:val="both"/>
        <w:rPr>
          <w:rFonts w:ascii="Arial" w:eastAsia="Arial Unicode MS" w:hAnsi="Arial" w:cs="Arial"/>
          <w:b/>
          <w:color w:val="000000"/>
          <w:sz w:val="22"/>
          <w:szCs w:val="22"/>
        </w:rPr>
      </w:pPr>
      <w:r w:rsidRPr="00076CE1">
        <w:rPr>
          <w:rFonts w:ascii="Arial" w:eastAsia="Arial Unicode MS" w:hAnsi="Arial" w:cs="Arial"/>
          <w:b/>
          <w:color w:val="000000"/>
          <w:sz w:val="32"/>
          <w:szCs w:val="22"/>
        </w:rPr>
        <w:t xml:space="preserve">STOCK LENDING </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0476FA" w:rsidRDefault="00E56C9A" w:rsidP="00DC78E9">
      <w:pPr>
        <w:tabs>
          <w:tab w:val="left" w:pos="1080"/>
        </w:tabs>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Northern Trust the Fund's custodian, are authorised to release stock to a third party </w:t>
      </w:r>
      <w:r w:rsidRPr="00076CE1">
        <w:rPr>
          <w:rFonts w:ascii="Arial" w:eastAsia="Arial Unicode MS" w:hAnsi="Arial" w:cs="Arial"/>
          <w:color w:val="000000"/>
          <w:sz w:val="22"/>
          <w:szCs w:val="22"/>
        </w:rPr>
        <w:t>under stock lending arrangements up to the statutory limits for this activity.</w:t>
      </w:r>
      <w:r>
        <w:rPr>
          <w:rFonts w:ascii="Arial" w:eastAsia="Arial Unicode MS" w:hAnsi="Arial" w:cs="Arial"/>
          <w:color w:val="000000"/>
          <w:sz w:val="22"/>
          <w:szCs w:val="22"/>
        </w:rPr>
        <w:t xml:space="preserve">  </w:t>
      </w:r>
    </w:p>
    <w:p w:rsidR="000476FA" w:rsidRDefault="00E56C9A" w:rsidP="00DC78E9">
      <w:pPr>
        <w:tabs>
          <w:tab w:val="left" w:pos="1080"/>
        </w:tabs>
        <w:autoSpaceDE w:val="0"/>
        <w:autoSpaceDN w:val="0"/>
        <w:adjustRightInd w:val="0"/>
        <w:jc w:val="both"/>
        <w:rPr>
          <w:rFonts w:ascii="Arial" w:eastAsia="Arial Unicode MS" w:hAnsi="Arial" w:cs="Arial"/>
          <w:color w:val="000000"/>
          <w:sz w:val="22"/>
          <w:szCs w:val="22"/>
        </w:rPr>
      </w:pPr>
    </w:p>
    <w:p w:rsidR="00DC78E9" w:rsidRDefault="00E56C9A" w:rsidP="00DC78E9">
      <w:pPr>
        <w:tabs>
          <w:tab w:val="left" w:pos="1080"/>
        </w:tabs>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t>Stock lending by Northern Trust ceased when all directly held equities were transitioned into the LPP Global Equities Pool.</w:t>
      </w:r>
      <w:r w:rsidRPr="00076CE1">
        <w:rPr>
          <w:rFonts w:ascii="Arial" w:eastAsia="Arial Unicode MS" w:hAnsi="Arial" w:cs="Arial"/>
          <w:color w:val="000000"/>
          <w:sz w:val="22"/>
          <w:szCs w:val="22"/>
        </w:rPr>
        <w:t xml:space="preserve">  Stock lending income </w:t>
      </w:r>
      <w:r>
        <w:rPr>
          <w:rFonts w:ascii="Arial" w:eastAsia="Arial Unicode MS" w:hAnsi="Arial" w:cs="Arial"/>
          <w:color w:val="000000"/>
          <w:sz w:val="22"/>
          <w:szCs w:val="22"/>
        </w:rPr>
        <w:t>to the date of transition wa</w:t>
      </w:r>
      <w:r>
        <w:rPr>
          <w:rFonts w:ascii="Arial" w:eastAsia="Arial Unicode MS" w:hAnsi="Arial" w:cs="Arial"/>
          <w:color w:val="000000"/>
          <w:sz w:val="22"/>
          <w:szCs w:val="22"/>
        </w:rPr>
        <w:t>s</w:t>
      </w:r>
      <w:r w:rsidRPr="00076CE1">
        <w:rPr>
          <w:rFonts w:ascii="Arial" w:eastAsia="Arial Unicode MS" w:hAnsi="Arial" w:cs="Arial"/>
          <w:color w:val="000000"/>
          <w:sz w:val="22"/>
          <w:szCs w:val="22"/>
        </w:rPr>
        <w:t xml:space="preserve"> </w:t>
      </w:r>
      <w:r w:rsidRPr="00076CE1">
        <w:rPr>
          <w:rFonts w:ascii="Arial" w:eastAsia="Arial Unicode MS" w:hAnsi="Arial" w:cs="Arial"/>
          <w:color w:val="000000"/>
          <w:sz w:val="22"/>
          <w:szCs w:val="22"/>
        </w:rPr>
        <w:t>£0.8m</w:t>
      </w:r>
      <w:r w:rsidRPr="00076CE1">
        <w:rPr>
          <w:rFonts w:ascii="Arial" w:eastAsia="Arial Unicode MS" w:hAnsi="Arial" w:cs="Arial"/>
          <w:color w:val="000000"/>
          <w:sz w:val="22"/>
          <w:szCs w:val="22"/>
        </w:rPr>
        <w:t xml:space="preserve"> (2015/16: £</w:t>
      </w:r>
      <w:r w:rsidRPr="00076CE1">
        <w:rPr>
          <w:rFonts w:ascii="Arial" w:eastAsia="Arial Unicode MS" w:hAnsi="Arial" w:cs="Arial"/>
          <w:color w:val="000000"/>
          <w:sz w:val="22"/>
          <w:szCs w:val="22"/>
        </w:rPr>
        <w:t>1.5</w:t>
      </w:r>
      <w:r w:rsidRPr="00076CE1">
        <w:rPr>
          <w:rFonts w:ascii="Arial" w:eastAsia="Arial Unicode MS" w:hAnsi="Arial" w:cs="Arial"/>
          <w:color w:val="000000"/>
          <w:sz w:val="22"/>
          <w:szCs w:val="22"/>
        </w:rPr>
        <w:t>m)</w:t>
      </w:r>
      <w:r w:rsidRPr="00076CE1">
        <w:rPr>
          <w:rFonts w:ascii="Arial" w:eastAsia="Arial Unicode MS" w:hAnsi="Arial" w:cs="Arial"/>
          <w:color w:val="000000"/>
          <w:sz w:val="22"/>
          <w:szCs w:val="22"/>
        </w:rPr>
        <w:t>.</w:t>
      </w:r>
      <w:r>
        <w:rPr>
          <w:rFonts w:ascii="Arial" w:eastAsia="Arial Unicode MS" w:hAnsi="Arial" w:cs="Arial"/>
          <w:color w:val="000000"/>
          <w:sz w:val="22"/>
          <w:szCs w:val="22"/>
        </w:rPr>
        <w:t xml:space="preserve">  There were no directly held securities on loan at 31 March 2017.  </w:t>
      </w:r>
      <w:r w:rsidRPr="00076CE1">
        <w:rPr>
          <w:rFonts w:ascii="Arial" w:eastAsia="Arial Unicode MS" w:hAnsi="Arial" w:cs="Arial"/>
          <w:sz w:val="22"/>
          <w:szCs w:val="22"/>
        </w:rPr>
        <w:t>The average on loan value, wholly comprised of equities, for the period to transition was £67.8m.  Assets on loan at 31 March 2016 consisted of £76.2m equities.</w:t>
      </w:r>
    </w:p>
    <w:p w:rsidR="000476FA" w:rsidRDefault="00E56C9A" w:rsidP="000476FA">
      <w:pPr>
        <w:tabs>
          <w:tab w:val="left" w:pos="1080"/>
        </w:tabs>
        <w:autoSpaceDE w:val="0"/>
        <w:autoSpaceDN w:val="0"/>
        <w:adjustRightInd w:val="0"/>
        <w:jc w:val="both"/>
        <w:rPr>
          <w:rFonts w:ascii="Arial" w:eastAsia="Arial Unicode MS" w:hAnsi="Arial" w:cs="Arial"/>
          <w:color w:val="000000"/>
          <w:sz w:val="22"/>
          <w:szCs w:val="22"/>
        </w:rPr>
      </w:pPr>
    </w:p>
    <w:p w:rsidR="000476FA" w:rsidRPr="00F83792" w:rsidRDefault="00E56C9A" w:rsidP="000476FA">
      <w:pPr>
        <w:tabs>
          <w:tab w:val="left" w:pos="567"/>
        </w:tabs>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t>Any income from securities lending within the LPP Global Equities Pool will be reinvested within the pool.</w:t>
      </w:r>
    </w:p>
    <w:p w:rsidR="000476FA" w:rsidRDefault="00E56C9A" w:rsidP="00DC78E9">
      <w:pPr>
        <w:tabs>
          <w:tab w:val="left" w:pos="1080"/>
        </w:tabs>
        <w:autoSpaceDE w:val="0"/>
        <w:autoSpaceDN w:val="0"/>
        <w:adjustRightInd w:val="0"/>
        <w:jc w:val="both"/>
        <w:rPr>
          <w:rFonts w:ascii="Arial" w:eastAsia="Arial Unicode MS" w:hAnsi="Arial" w:cs="Arial"/>
          <w:color w:val="000000"/>
          <w:sz w:val="22"/>
          <w:szCs w:val="22"/>
          <w:highlight w:val="magenta"/>
        </w:rPr>
      </w:pPr>
    </w:p>
    <w:p w:rsidR="000476FA" w:rsidRPr="00076CE1" w:rsidRDefault="00E56C9A" w:rsidP="00DC78E9">
      <w:pPr>
        <w:tabs>
          <w:tab w:val="left" w:pos="1080"/>
        </w:tabs>
        <w:autoSpaceDE w:val="0"/>
        <w:autoSpaceDN w:val="0"/>
        <w:adjustRightInd w:val="0"/>
        <w:jc w:val="both"/>
        <w:rPr>
          <w:rFonts w:ascii="Arial" w:eastAsia="Arial Unicode MS" w:hAnsi="Arial" w:cs="Arial"/>
          <w:color w:val="000000"/>
          <w:sz w:val="22"/>
          <w:szCs w:val="22"/>
          <w:highlight w:val="magenta"/>
        </w:rPr>
      </w:pPr>
    </w:p>
    <w:p w:rsidR="00DC78E9" w:rsidRPr="00076CE1" w:rsidRDefault="00E56C9A" w:rsidP="00F615E2">
      <w:pPr>
        <w:autoSpaceDE w:val="0"/>
        <w:autoSpaceDN w:val="0"/>
        <w:adjustRightInd w:val="0"/>
        <w:contextualSpacing/>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4</w:t>
      </w:r>
      <w:r w:rsidRPr="00076CE1">
        <w:rPr>
          <w:rFonts w:ascii="Arial" w:eastAsia="Arial Unicode MS" w:hAnsi="Arial" w:cs="Arial"/>
          <w:b/>
          <w:color w:val="000000"/>
          <w:sz w:val="32"/>
          <w:szCs w:val="22"/>
        </w:rPr>
        <w:t xml:space="preserve">. </w:t>
      </w:r>
      <w:r w:rsidRPr="00076CE1">
        <w:rPr>
          <w:rFonts w:ascii="Arial" w:eastAsia="Arial Unicode MS" w:hAnsi="Arial" w:cs="Arial"/>
          <w:b/>
          <w:color w:val="000000"/>
          <w:sz w:val="32"/>
          <w:szCs w:val="22"/>
        </w:rPr>
        <w:t>RECONCILIATION OF MOVEMENTS IN INVESTMENTS AND DERIVATIVES</w:t>
      </w:r>
    </w:p>
    <w:p w:rsidR="00DC78E9" w:rsidRPr="00076CE1" w:rsidRDefault="00E56C9A" w:rsidP="00DC78E9">
      <w:pPr>
        <w:autoSpaceDE w:val="0"/>
        <w:autoSpaceDN w:val="0"/>
        <w:adjustRightInd w:val="0"/>
        <w:contextualSpacing/>
        <w:jc w:val="both"/>
        <w:rPr>
          <w:rFonts w:ascii="Arial" w:eastAsia="Arial Unicode MS" w:hAnsi="Arial" w:cs="Arial"/>
          <w:b/>
          <w:color w:val="000000"/>
          <w:sz w:val="32"/>
          <w:szCs w:val="22"/>
        </w:rPr>
      </w:pPr>
    </w:p>
    <w:p w:rsidR="00DC78E9" w:rsidRPr="00076CE1" w:rsidRDefault="00E56C9A" w:rsidP="00DC78E9">
      <w:pPr>
        <w:autoSpaceDE w:val="0"/>
        <w:autoSpaceDN w:val="0"/>
        <w:adjustRightInd w:val="0"/>
        <w:contextualSpacing/>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2016/17</w:t>
      </w:r>
    </w:p>
    <w:p w:rsidR="00DC78E9" w:rsidRPr="00076CE1" w:rsidRDefault="00E56C9A" w:rsidP="00DC78E9">
      <w:pPr>
        <w:autoSpaceDE w:val="0"/>
        <w:autoSpaceDN w:val="0"/>
        <w:adjustRightInd w:val="0"/>
        <w:ind w:left="862"/>
        <w:contextualSpacing/>
        <w:jc w:val="both"/>
        <w:rPr>
          <w:rFonts w:ascii="Arial" w:eastAsia="Arial Unicode MS" w:hAnsi="Arial" w:cs="Arial"/>
          <w:b/>
          <w:color w:val="000000"/>
          <w:sz w:val="22"/>
          <w:szCs w:val="22"/>
        </w:rPr>
      </w:pPr>
    </w:p>
    <w:tbl>
      <w:tblPr>
        <w:tblStyle w:val="TableGrid2"/>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710"/>
        <w:gridCol w:w="1496"/>
        <w:gridCol w:w="1640"/>
        <w:gridCol w:w="1594"/>
        <w:gridCol w:w="1514"/>
        <w:gridCol w:w="1496"/>
      </w:tblGrid>
      <w:tr w:rsidR="00B368D6" w:rsidTr="00A56E93">
        <w:tc>
          <w:tcPr>
            <w:tcW w:w="2710" w:type="dxa"/>
            <w:tcBorders>
              <w:bottom w:val="nil"/>
            </w:tcBorders>
            <w:shd w:val="clear" w:color="auto" w:fill="E7E6E6" w:themeFill="background2"/>
          </w:tcPr>
          <w:p w:rsidR="00DC78E9" w:rsidRPr="00076CE1" w:rsidRDefault="00E56C9A" w:rsidP="00105290">
            <w:pPr>
              <w:autoSpaceDE w:val="0"/>
              <w:autoSpaceDN w:val="0"/>
              <w:adjustRightInd w:val="0"/>
              <w:jc w:val="both"/>
              <w:rPr>
                <w:rFonts w:ascii="Arial" w:eastAsia="Arial Unicode MS" w:hAnsi="Arial" w:cs="Arial"/>
                <w:b/>
                <w:color w:val="000000"/>
                <w:sz w:val="20"/>
                <w:szCs w:val="20"/>
              </w:rPr>
            </w:pPr>
          </w:p>
        </w:tc>
        <w:tc>
          <w:tcPr>
            <w:tcW w:w="1496" w:type="dxa"/>
            <w:shd w:val="clear" w:color="auto" w:fill="E7E6E6" w:themeFill="background2"/>
          </w:tcPr>
          <w:p w:rsidR="008A7B6A" w:rsidRPr="00076CE1" w:rsidRDefault="00E56C9A" w:rsidP="00E330E6">
            <w:pPr>
              <w:autoSpaceDE w:val="0"/>
              <w:autoSpaceDN w:val="0"/>
              <w:adjustRightInd w:val="0"/>
              <w:jc w:val="right"/>
              <w:rPr>
                <w:rFonts w:ascii="Arial" w:eastAsia="Arial Unicode MS" w:hAnsi="Arial" w:cs="Arial"/>
                <w:b/>
                <w:color w:val="000000"/>
                <w:sz w:val="20"/>
                <w:szCs w:val="20"/>
              </w:rPr>
            </w:pPr>
          </w:p>
          <w:p w:rsidR="008A7B6A" w:rsidRPr="00076CE1" w:rsidRDefault="00E56C9A" w:rsidP="00E330E6">
            <w:pPr>
              <w:autoSpaceDE w:val="0"/>
              <w:autoSpaceDN w:val="0"/>
              <w:adjustRightInd w:val="0"/>
              <w:jc w:val="right"/>
              <w:rPr>
                <w:rFonts w:ascii="Arial" w:eastAsia="Arial Unicode MS" w:hAnsi="Arial" w:cs="Arial"/>
                <w:b/>
                <w:color w:val="000000"/>
                <w:sz w:val="20"/>
                <w:szCs w:val="20"/>
              </w:rPr>
            </w:pPr>
          </w:p>
          <w:p w:rsidR="00DC78E9" w:rsidRPr="00076CE1" w:rsidRDefault="00E56C9A" w:rsidP="00E330E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Market value as at</w:t>
            </w:r>
          </w:p>
          <w:p w:rsidR="00DC78E9" w:rsidRPr="00076CE1" w:rsidRDefault="00E56C9A" w:rsidP="00E330E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1 April 2016</w:t>
            </w:r>
          </w:p>
        </w:tc>
        <w:tc>
          <w:tcPr>
            <w:tcW w:w="1640" w:type="dxa"/>
            <w:shd w:val="clear" w:color="auto" w:fill="E7E6E6" w:themeFill="background2"/>
          </w:tcPr>
          <w:p w:rsidR="008A7B6A" w:rsidRPr="00076CE1" w:rsidRDefault="00E56C9A" w:rsidP="00E330E6">
            <w:pPr>
              <w:autoSpaceDE w:val="0"/>
              <w:autoSpaceDN w:val="0"/>
              <w:adjustRightInd w:val="0"/>
              <w:jc w:val="right"/>
              <w:rPr>
                <w:rFonts w:ascii="Arial" w:eastAsia="Arial Unicode MS" w:hAnsi="Arial" w:cs="Arial"/>
                <w:b/>
                <w:color w:val="000000"/>
                <w:sz w:val="20"/>
                <w:szCs w:val="20"/>
              </w:rPr>
            </w:pPr>
          </w:p>
          <w:p w:rsidR="00DC78E9" w:rsidRPr="00076CE1" w:rsidRDefault="00E56C9A" w:rsidP="00E330E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 xml:space="preserve">Purchases at cost and derivative </w:t>
            </w:r>
            <w:r w:rsidRPr="00076CE1">
              <w:rPr>
                <w:rFonts w:ascii="Arial" w:eastAsia="Arial Unicode MS" w:hAnsi="Arial" w:cs="Arial"/>
                <w:b/>
                <w:color w:val="000000"/>
                <w:sz w:val="20"/>
                <w:szCs w:val="20"/>
              </w:rPr>
              <w:t>payments</w:t>
            </w:r>
          </w:p>
        </w:tc>
        <w:tc>
          <w:tcPr>
            <w:tcW w:w="1594" w:type="dxa"/>
            <w:shd w:val="clear" w:color="auto" w:fill="E7E6E6" w:themeFill="background2"/>
          </w:tcPr>
          <w:p w:rsidR="008A7B6A" w:rsidRPr="00076CE1" w:rsidRDefault="00E56C9A" w:rsidP="00E330E6">
            <w:pPr>
              <w:autoSpaceDE w:val="0"/>
              <w:autoSpaceDN w:val="0"/>
              <w:adjustRightInd w:val="0"/>
              <w:jc w:val="right"/>
              <w:rPr>
                <w:rFonts w:ascii="Arial" w:eastAsia="Arial Unicode MS" w:hAnsi="Arial" w:cs="Arial"/>
                <w:b/>
                <w:color w:val="000000"/>
                <w:sz w:val="20"/>
                <w:szCs w:val="20"/>
              </w:rPr>
            </w:pPr>
          </w:p>
          <w:p w:rsidR="00DC78E9" w:rsidRPr="00076CE1" w:rsidRDefault="00E56C9A" w:rsidP="00E330E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Sales proceeds and derivative receipts</w:t>
            </w:r>
          </w:p>
        </w:tc>
        <w:tc>
          <w:tcPr>
            <w:tcW w:w="1514" w:type="dxa"/>
            <w:shd w:val="clear" w:color="auto" w:fill="E7E6E6" w:themeFill="background2"/>
          </w:tcPr>
          <w:p w:rsidR="008A7B6A" w:rsidRPr="00076CE1" w:rsidRDefault="00E56C9A" w:rsidP="00E330E6">
            <w:pPr>
              <w:autoSpaceDE w:val="0"/>
              <w:autoSpaceDN w:val="0"/>
              <w:adjustRightInd w:val="0"/>
              <w:jc w:val="right"/>
              <w:rPr>
                <w:rFonts w:ascii="Arial" w:eastAsia="Arial Unicode MS" w:hAnsi="Arial" w:cs="Arial"/>
                <w:b/>
                <w:color w:val="000000"/>
                <w:sz w:val="20"/>
                <w:szCs w:val="20"/>
              </w:rPr>
            </w:pPr>
          </w:p>
          <w:p w:rsidR="008A7B6A" w:rsidRPr="00076CE1" w:rsidRDefault="00E56C9A" w:rsidP="00E330E6">
            <w:pPr>
              <w:autoSpaceDE w:val="0"/>
              <w:autoSpaceDN w:val="0"/>
              <w:adjustRightInd w:val="0"/>
              <w:jc w:val="right"/>
              <w:rPr>
                <w:rFonts w:ascii="Arial" w:eastAsia="Arial Unicode MS" w:hAnsi="Arial" w:cs="Arial"/>
                <w:b/>
                <w:color w:val="000000"/>
                <w:sz w:val="20"/>
                <w:szCs w:val="20"/>
              </w:rPr>
            </w:pPr>
          </w:p>
          <w:p w:rsidR="008A7B6A" w:rsidRPr="00076CE1" w:rsidRDefault="00E56C9A" w:rsidP="00E330E6">
            <w:pPr>
              <w:autoSpaceDE w:val="0"/>
              <w:autoSpaceDN w:val="0"/>
              <w:adjustRightInd w:val="0"/>
              <w:jc w:val="right"/>
              <w:rPr>
                <w:rFonts w:ascii="Arial" w:eastAsia="Arial Unicode MS" w:hAnsi="Arial" w:cs="Arial"/>
                <w:b/>
                <w:color w:val="000000"/>
                <w:sz w:val="20"/>
                <w:szCs w:val="20"/>
              </w:rPr>
            </w:pPr>
          </w:p>
          <w:p w:rsidR="00DC78E9" w:rsidRPr="00076CE1" w:rsidRDefault="00E56C9A" w:rsidP="00E330E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Change in market value</w:t>
            </w:r>
          </w:p>
        </w:tc>
        <w:tc>
          <w:tcPr>
            <w:tcW w:w="1496" w:type="dxa"/>
            <w:shd w:val="clear" w:color="auto" w:fill="E7E6E6" w:themeFill="background2"/>
          </w:tcPr>
          <w:p w:rsidR="008A7B6A" w:rsidRPr="00076CE1" w:rsidRDefault="00E56C9A" w:rsidP="00E330E6">
            <w:pPr>
              <w:autoSpaceDE w:val="0"/>
              <w:autoSpaceDN w:val="0"/>
              <w:adjustRightInd w:val="0"/>
              <w:jc w:val="right"/>
              <w:rPr>
                <w:rFonts w:ascii="Arial" w:eastAsia="Arial Unicode MS" w:hAnsi="Arial" w:cs="Arial"/>
                <w:b/>
                <w:color w:val="000000"/>
                <w:sz w:val="20"/>
                <w:szCs w:val="20"/>
              </w:rPr>
            </w:pPr>
          </w:p>
          <w:p w:rsidR="00DC78E9" w:rsidRPr="00076CE1" w:rsidRDefault="00E56C9A" w:rsidP="00E330E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Market value as at</w:t>
            </w:r>
          </w:p>
          <w:p w:rsidR="00DC78E9" w:rsidRPr="00076CE1" w:rsidRDefault="00E56C9A" w:rsidP="00E330E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31 March 2017</w:t>
            </w:r>
          </w:p>
        </w:tc>
      </w:tr>
      <w:tr w:rsidR="00B368D6" w:rsidTr="00A56E93">
        <w:trPr>
          <w:trHeight w:val="466"/>
        </w:trPr>
        <w:tc>
          <w:tcPr>
            <w:tcW w:w="2710" w:type="dxa"/>
            <w:tcBorders>
              <w:top w:val="nil"/>
            </w:tcBorders>
            <w:shd w:val="clear" w:color="auto" w:fill="E7E6E6" w:themeFill="background2"/>
          </w:tcPr>
          <w:p w:rsidR="00DC78E9" w:rsidRPr="00076CE1" w:rsidRDefault="00E56C9A" w:rsidP="00AC2AD6">
            <w:pPr>
              <w:jc w:val="right"/>
              <w:rPr>
                <w:rFonts w:ascii="Arial" w:eastAsia="Arial Unicode MS" w:hAnsi="Arial" w:cs="Arial"/>
                <w:color w:val="000000"/>
                <w:sz w:val="20"/>
                <w:szCs w:val="20"/>
              </w:rPr>
            </w:pPr>
          </w:p>
        </w:tc>
        <w:tc>
          <w:tcPr>
            <w:tcW w:w="1496" w:type="dxa"/>
            <w:shd w:val="clear" w:color="auto" w:fill="E7E6E6" w:themeFill="background2"/>
          </w:tcPr>
          <w:p w:rsidR="00DC78E9" w:rsidRPr="00076CE1" w:rsidRDefault="00E56C9A" w:rsidP="00AC2AD6">
            <w:pPr>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640" w:type="dxa"/>
            <w:shd w:val="clear" w:color="auto" w:fill="E7E6E6" w:themeFill="background2"/>
          </w:tcPr>
          <w:p w:rsidR="00DC78E9" w:rsidRPr="00076CE1" w:rsidRDefault="00E56C9A" w:rsidP="00AC2AD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594" w:type="dxa"/>
            <w:shd w:val="clear" w:color="auto" w:fill="E7E6E6" w:themeFill="background2"/>
          </w:tcPr>
          <w:p w:rsidR="00DC78E9" w:rsidRPr="00076CE1" w:rsidRDefault="00E56C9A" w:rsidP="00AC2AD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514" w:type="dxa"/>
            <w:shd w:val="clear" w:color="auto" w:fill="E7E6E6" w:themeFill="background2"/>
          </w:tcPr>
          <w:p w:rsidR="00DC78E9" w:rsidRPr="00076CE1" w:rsidRDefault="00E56C9A" w:rsidP="00AC2AD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496" w:type="dxa"/>
            <w:shd w:val="clear" w:color="auto" w:fill="E7E6E6" w:themeFill="background2"/>
          </w:tcPr>
          <w:p w:rsidR="00DC78E9" w:rsidRPr="00076CE1" w:rsidRDefault="00E56C9A" w:rsidP="00AC2AD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r>
      <w:tr w:rsidR="00B368D6" w:rsidTr="00A56E93">
        <w:trPr>
          <w:trHeight w:val="431"/>
        </w:trPr>
        <w:tc>
          <w:tcPr>
            <w:tcW w:w="2710" w:type="dxa"/>
          </w:tcPr>
          <w:p w:rsidR="00DC78E9" w:rsidRPr="00076CE1" w:rsidRDefault="00E56C9A" w:rsidP="00105290">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Fixed interest securities</w:t>
            </w:r>
          </w:p>
        </w:tc>
        <w:tc>
          <w:tcPr>
            <w:tcW w:w="1496"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123.1</w:t>
            </w:r>
          </w:p>
        </w:tc>
        <w:tc>
          <w:tcPr>
            <w:tcW w:w="1640" w:type="dxa"/>
            <w:shd w:val="clear" w:color="auto" w:fill="auto"/>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189.5</w:t>
            </w:r>
          </w:p>
        </w:tc>
        <w:tc>
          <w:tcPr>
            <w:tcW w:w="1594" w:type="dxa"/>
            <w:shd w:val="clear" w:color="auto" w:fill="auto"/>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(190.5)</w:t>
            </w:r>
          </w:p>
        </w:tc>
        <w:tc>
          <w:tcPr>
            <w:tcW w:w="1514" w:type="dxa"/>
            <w:shd w:val="clear" w:color="auto" w:fill="auto"/>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10.1</w:t>
            </w:r>
          </w:p>
        </w:tc>
        <w:tc>
          <w:tcPr>
            <w:tcW w:w="1496"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132.2</w:t>
            </w:r>
          </w:p>
        </w:tc>
      </w:tr>
      <w:tr w:rsidR="00B368D6" w:rsidTr="00A56E93">
        <w:trPr>
          <w:trHeight w:val="431"/>
        </w:trPr>
        <w:tc>
          <w:tcPr>
            <w:tcW w:w="2710" w:type="dxa"/>
          </w:tcPr>
          <w:p w:rsidR="00DC78E9" w:rsidRPr="001C1335" w:rsidRDefault="00E56C9A" w:rsidP="00105290">
            <w:pPr>
              <w:jc w:val="both"/>
              <w:rPr>
                <w:rFonts w:ascii="Arial" w:eastAsia="Arial Unicode MS" w:hAnsi="Arial" w:cs="Arial"/>
                <w:color w:val="000000"/>
                <w:sz w:val="20"/>
                <w:szCs w:val="20"/>
                <w:vertAlign w:val="superscript"/>
              </w:rPr>
            </w:pPr>
            <w:r w:rsidRPr="00076CE1">
              <w:rPr>
                <w:rFonts w:ascii="Arial" w:eastAsia="Arial Unicode MS" w:hAnsi="Arial" w:cs="Arial"/>
                <w:color w:val="000000"/>
                <w:sz w:val="20"/>
                <w:szCs w:val="20"/>
              </w:rPr>
              <w:t>Equities</w:t>
            </w:r>
            <w:r>
              <w:rPr>
                <w:rFonts w:ascii="Arial" w:eastAsia="Arial Unicode MS" w:hAnsi="Arial" w:cs="Arial"/>
                <w:color w:val="000000"/>
                <w:sz w:val="20"/>
                <w:szCs w:val="20"/>
                <w:vertAlign w:val="superscript"/>
              </w:rPr>
              <w:t>1</w:t>
            </w:r>
          </w:p>
        </w:tc>
        <w:tc>
          <w:tcPr>
            <w:tcW w:w="1496"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2,069.9</w:t>
            </w:r>
          </w:p>
        </w:tc>
        <w:tc>
          <w:tcPr>
            <w:tcW w:w="1640"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1,867.8</w:t>
            </w:r>
          </w:p>
        </w:tc>
        <w:tc>
          <w:tcPr>
            <w:tcW w:w="1594"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(4,358.0)</w:t>
            </w:r>
          </w:p>
        </w:tc>
        <w:tc>
          <w:tcPr>
            <w:tcW w:w="1514"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420.3</w:t>
            </w:r>
          </w:p>
        </w:tc>
        <w:tc>
          <w:tcPr>
            <w:tcW w:w="1496" w:type="dxa"/>
          </w:tcPr>
          <w:p w:rsidR="00DC78E9" w:rsidRPr="00076CE1" w:rsidRDefault="00E56C9A" w:rsidP="00105290">
            <w:pPr>
              <w:jc w:val="right"/>
              <w:rPr>
                <w:rFonts w:ascii="Arial" w:eastAsia="Arial Unicode MS" w:hAnsi="Arial" w:cs="Arial"/>
                <w:color w:val="000000"/>
                <w:sz w:val="20"/>
                <w:szCs w:val="20"/>
              </w:rPr>
            </w:pPr>
            <w:r>
              <w:rPr>
                <w:rFonts w:ascii="Arial" w:eastAsia="Arial Unicode MS" w:hAnsi="Arial" w:cs="Arial"/>
                <w:color w:val="000000"/>
                <w:sz w:val="20"/>
                <w:szCs w:val="20"/>
              </w:rPr>
              <w:t>-</w:t>
            </w:r>
          </w:p>
        </w:tc>
      </w:tr>
      <w:tr w:rsidR="00B368D6" w:rsidTr="00A56E93">
        <w:trPr>
          <w:trHeight w:val="431"/>
        </w:trPr>
        <w:tc>
          <w:tcPr>
            <w:tcW w:w="2710" w:type="dxa"/>
          </w:tcPr>
          <w:p w:rsidR="00DC78E9" w:rsidRPr="00076CE1" w:rsidRDefault="00E56C9A" w:rsidP="00105290">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Index linked securities</w:t>
            </w:r>
          </w:p>
        </w:tc>
        <w:tc>
          <w:tcPr>
            <w:tcW w:w="1496"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63.7</w:t>
            </w:r>
          </w:p>
        </w:tc>
        <w:tc>
          <w:tcPr>
            <w:tcW w:w="1640" w:type="dxa"/>
            <w:shd w:val="clear" w:color="auto" w:fill="auto"/>
          </w:tcPr>
          <w:p w:rsidR="00DC78E9" w:rsidRPr="00076CE1" w:rsidRDefault="00E56C9A" w:rsidP="008A7B6A">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125.1</w:t>
            </w:r>
          </w:p>
        </w:tc>
        <w:tc>
          <w:tcPr>
            <w:tcW w:w="1594" w:type="dxa"/>
            <w:shd w:val="clear" w:color="auto" w:fill="auto"/>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(66.7)</w:t>
            </w:r>
          </w:p>
        </w:tc>
        <w:tc>
          <w:tcPr>
            <w:tcW w:w="1514" w:type="dxa"/>
            <w:shd w:val="clear" w:color="auto" w:fill="auto"/>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5.0</w:t>
            </w:r>
          </w:p>
        </w:tc>
        <w:tc>
          <w:tcPr>
            <w:tcW w:w="1496"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127.1</w:t>
            </w:r>
          </w:p>
        </w:tc>
      </w:tr>
      <w:tr w:rsidR="00B368D6" w:rsidTr="00E330E6">
        <w:trPr>
          <w:trHeight w:val="451"/>
        </w:trPr>
        <w:tc>
          <w:tcPr>
            <w:tcW w:w="2710" w:type="dxa"/>
          </w:tcPr>
          <w:p w:rsidR="00DC78E9" w:rsidRPr="00076CE1" w:rsidRDefault="00E56C9A" w:rsidP="001C1335">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Pooled investment vehicles</w:t>
            </w:r>
            <w:r>
              <w:rPr>
                <w:rFonts w:ascii="Arial" w:eastAsia="Arial Unicode MS" w:hAnsi="Arial" w:cs="Arial"/>
                <w:color w:val="000000"/>
                <w:sz w:val="20"/>
                <w:szCs w:val="20"/>
                <w:vertAlign w:val="superscript"/>
              </w:rPr>
              <w:t>2</w:t>
            </w:r>
          </w:p>
        </w:tc>
        <w:tc>
          <w:tcPr>
            <w:tcW w:w="1496"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2,855.0</w:t>
            </w:r>
          </w:p>
        </w:tc>
        <w:tc>
          <w:tcPr>
            <w:tcW w:w="1640" w:type="dxa"/>
            <w:shd w:val="clear" w:color="auto" w:fill="auto"/>
          </w:tcPr>
          <w:p w:rsidR="00DC78E9" w:rsidRPr="00076CE1" w:rsidRDefault="00E56C9A" w:rsidP="00BA5984">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3,396.3</w:t>
            </w:r>
          </w:p>
        </w:tc>
        <w:tc>
          <w:tcPr>
            <w:tcW w:w="1594" w:type="dxa"/>
            <w:shd w:val="clear" w:color="auto" w:fill="auto"/>
          </w:tcPr>
          <w:p w:rsidR="00DC78E9" w:rsidRPr="00076CE1" w:rsidRDefault="00E56C9A" w:rsidP="00ED2197">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w:t>
            </w:r>
            <w:r w:rsidRPr="00076CE1">
              <w:rPr>
                <w:rFonts w:ascii="Arial" w:eastAsia="Arial Unicode MS" w:hAnsi="Arial" w:cs="Arial"/>
                <w:color w:val="000000"/>
                <w:sz w:val="20"/>
                <w:szCs w:val="20"/>
              </w:rPr>
              <w:t>780.0</w:t>
            </w:r>
            <w:r w:rsidRPr="00076CE1">
              <w:rPr>
                <w:rFonts w:ascii="Arial" w:eastAsia="Arial Unicode MS" w:hAnsi="Arial" w:cs="Arial"/>
                <w:color w:val="000000"/>
                <w:sz w:val="20"/>
                <w:szCs w:val="20"/>
              </w:rPr>
              <w:t>)</w:t>
            </w:r>
          </w:p>
        </w:tc>
        <w:tc>
          <w:tcPr>
            <w:tcW w:w="1514" w:type="dxa"/>
            <w:shd w:val="clear" w:color="auto" w:fill="auto"/>
          </w:tcPr>
          <w:p w:rsidR="00DC78E9" w:rsidRPr="00076CE1" w:rsidRDefault="00E56C9A" w:rsidP="00287756">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665.</w:t>
            </w:r>
            <w:r>
              <w:rPr>
                <w:rFonts w:ascii="Arial" w:eastAsia="Arial Unicode MS" w:hAnsi="Arial" w:cs="Arial"/>
                <w:color w:val="000000"/>
                <w:sz w:val="20"/>
                <w:szCs w:val="20"/>
              </w:rPr>
              <w:t>4</w:t>
            </w:r>
          </w:p>
        </w:tc>
        <w:tc>
          <w:tcPr>
            <w:tcW w:w="1496" w:type="dxa"/>
            <w:shd w:val="clear" w:color="auto" w:fill="auto"/>
          </w:tcPr>
          <w:p w:rsidR="00DC78E9" w:rsidRPr="00076CE1" w:rsidRDefault="00E56C9A" w:rsidP="00F86A97">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6,136.</w:t>
            </w:r>
            <w:r w:rsidRPr="00076CE1">
              <w:rPr>
                <w:rFonts w:ascii="Arial" w:eastAsia="Arial Unicode MS" w:hAnsi="Arial" w:cs="Arial"/>
                <w:color w:val="000000"/>
                <w:sz w:val="20"/>
                <w:szCs w:val="20"/>
              </w:rPr>
              <w:t>7</w:t>
            </w:r>
          </w:p>
        </w:tc>
      </w:tr>
      <w:tr w:rsidR="00B368D6" w:rsidTr="00A56E93">
        <w:trPr>
          <w:trHeight w:val="431"/>
        </w:trPr>
        <w:tc>
          <w:tcPr>
            <w:tcW w:w="2710" w:type="dxa"/>
          </w:tcPr>
          <w:p w:rsidR="002A448F" w:rsidRPr="00076CE1" w:rsidRDefault="00E56C9A" w:rsidP="00E330E6">
            <w:pPr>
              <w:rPr>
                <w:rFonts w:ascii="Arial" w:eastAsia="Arial Unicode MS" w:hAnsi="Arial" w:cs="Arial"/>
                <w:color w:val="000000"/>
                <w:sz w:val="20"/>
                <w:szCs w:val="20"/>
              </w:rPr>
            </w:pPr>
            <w:r w:rsidRPr="00076CE1">
              <w:rPr>
                <w:rFonts w:ascii="Arial" w:eastAsia="Arial Unicode MS" w:hAnsi="Arial" w:cs="Arial"/>
                <w:color w:val="000000"/>
                <w:sz w:val="20"/>
                <w:szCs w:val="20"/>
              </w:rPr>
              <w:t>Pooled property investments</w:t>
            </w:r>
            <w:r w:rsidRPr="00CA6B72">
              <w:rPr>
                <w:rFonts w:ascii="Arial" w:eastAsia="Arial Unicode MS" w:hAnsi="Arial" w:cs="Arial"/>
                <w:color w:val="000000"/>
                <w:sz w:val="20"/>
                <w:szCs w:val="20"/>
                <w:vertAlign w:val="superscript"/>
              </w:rPr>
              <w:t>2</w:t>
            </w:r>
          </w:p>
        </w:tc>
        <w:tc>
          <w:tcPr>
            <w:tcW w:w="1496" w:type="dxa"/>
          </w:tcPr>
          <w:p w:rsidR="002A448F"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80.6</w:t>
            </w:r>
          </w:p>
        </w:tc>
        <w:tc>
          <w:tcPr>
            <w:tcW w:w="1640" w:type="dxa"/>
          </w:tcPr>
          <w:p w:rsidR="002A448F"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13.2</w:t>
            </w:r>
          </w:p>
        </w:tc>
        <w:tc>
          <w:tcPr>
            <w:tcW w:w="1594" w:type="dxa"/>
          </w:tcPr>
          <w:p w:rsidR="002A448F"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0.0</w:t>
            </w:r>
          </w:p>
        </w:tc>
        <w:tc>
          <w:tcPr>
            <w:tcW w:w="1514" w:type="dxa"/>
          </w:tcPr>
          <w:p w:rsidR="002A448F"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5.6</w:t>
            </w:r>
          </w:p>
        </w:tc>
        <w:tc>
          <w:tcPr>
            <w:tcW w:w="1496" w:type="dxa"/>
            <w:shd w:val="clear" w:color="auto" w:fill="auto"/>
          </w:tcPr>
          <w:p w:rsidR="002A448F"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99.4</w:t>
            </w:r>
          </w:p>
        </w:tc>
      </w:tr>
      <w:tr w:rsidR="00B368D6" w:rsidTr="009C43B7">
        <w:trPr>
          <w:trHeight w:val="431"/>
        </w:trPr>
        <w:tc>
          <w:tcPr>
            <w:tcW w:w="2710" w:type="dxa"/>
          </w:tcPr>
          <w:p w:rsidR="00DC78E9" w:rsidRPr="00076CE1" w:rsidRDefault="00E56C9A" w:rsidP="00105290">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Direct property</w:t>
            </w:r>
          </w:p>
        </w:tc>
        <w:tc>
          <w:tcPr>
            <w:tcW w:w="1496"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608.1</w:t>
            </w:r>
          </w:p>
        </w:tc>
        <w:tc>
          <w:tcPr>
            <w:tcW w:w="1640"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95.2</w:t>
            </w:r>
          </w:p>
        </w:tc>
        <w:tc>
          <w:tcPr>
            <w:tcW w:w="1594" w:type="dxa"/>
            <w:shd w:val="clear" w:color="auto" w:fill="auto"/>
          </w:tcPr>
          <w:p w:rsidR="00DC78E9" w:rsidRPr="00076CE1" w:rsidRDefault="00E56C9A" w:rsidP="00287756">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w:t>
            </w:r>
            <w:r>
              <w:rPr>
                <w:rFonts w:ascii="Arial" w:eastAsia="Arial Unicode MS" w:hAnsi="Arial" w:cs="Arial"/>
                <w:color w:val="000000"/>
                <w:sz w:val="20"/>
                <w:szCs w:val="20"/>
              </w:rPr>
              <w:t>104.5</w:t>
            </w:r>
            <w:r w:rsidRPr="00076CE1">
              <w:rPr>
                <w:rFonts w:ascii="Arial" w:eastAsia="Arial Unicode MS" w:hAnsi="Arial" w:cs="Arial"/>
                <w:color w:val="000000"/>
                <w:sz w:val="20"/>
                <w:szCs w:val="20"/>
              </w:rPr>
              <w:t>)</w:t>
            </w:r>
          </w:p>
        </w:tc>
        <w:tc>
          <w:tcPr>
            <w:tcW w:w="1514" w:type="dxa"/>
            <w:shd w:val="clear" w:color="auto" w:fill="auto"/>
          </w:tcPr>
          <w:p w:rsidR="00DC78E9" w:rsidRPr="00076CE1" w:rsidRDefault="00E56C9A" w:rsidP="00105290">
            <w:pPr>
              <w:jc w:val="right"/>
              <w:rPr>
                <w:rFonts w:ascii="Arial" w:eastAsia="Arial Unicode MS" w:hAnsi="Arial" w:cs="Arial"/>
                <w:color w:val="000000"/>
                <w:sz w:val="20"/>
                <w:szCs w:val="20"/>
              </w:rPr>
            </w:pPr>
            <w:r>
              <w:rPr>
                <w:rFonts w:ascii="Arial" w:eastAsia="Arial Unicode MS" w:hAnsi="Arial" w:cs="Arial"/>
                <w:color w:val="000000"/>
                <w:sz w:val="20"/>
                <w:szCs w:val="20"/>
              </w:rPr>
              <w:t>38.2</w:t>
            </w:r>
          </w:p>
        </w:tc>
        <w:tc>
          <w:tcPr>
            <w:tcW w:w="1496"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637.0</w:t>
            </w:r>
          </w:p>
        </w:tc>
      </w:tr>
      <w:tr w:rsidR="00B368D6" w:rsidTr="00C24477">
        <w:trPr>
          <w:trHeight w:val="431"/>
        </w:trPr>
        <w:tc>
          <w:tcPr>
            <w:tcW w:w="2710" w:type="dxa"/>
          </w:tcPr>
          <w:p w:rsidR="00A56E93" w:rsidRPr="00076CE1" w:rsidRDefault="00E56C9A" w:rsidP="00A56E93">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Derivatives contracts:</w:t>
            </w:r>
          </w:p>
          <w:p w:rsidR="00A56E93" w:rsidRPr="00076CE1" w:rsidRDefault="00E56C9A" w:rsidP="00A56E93">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 xml:space="preserve">Forward currency contracts asset </w:t>
            </w:r>
            <w:r w:rsidRPr="00076CE1">
              <w:rPr>
                <w:rFonts w:ascii="Arial" w:eastAsia="Arial Unicode MS" w:hAnsi="Arial" w:cs="Arial"/>
                <w:color w:val="000000"/>
                <w:sz w:val="20"/>
                <w:szCs w:val="20"/>
              </w:rPr>
              <w:t>value</w:t>
            </w:r>
          </w:p>
        </w:tc>
        <w:tc>
          <w:tcPr>
            <w:tcW w:w="1496" w:type="dxa"/>
          </w:tcPr>
          <w:p w:rsidR="00A56E93" w:rsidRPr="00076CE1" w:rsidRDefault="00E56C9A" w:rsidP="00A56E93">
            <w:pPr>
              <w:jc w:val="right"/>
              <w:rPr>
                <w:rFonts w:ascii="Arial" w:eastAsia="Arial Unicode MS" w:hAnsi="Arial" w:cs="Arial"/>
                <w:color w:val="000000"/>
                <w:sz w:val="20"/>
                <w:szCs w:val="20"/>
              </w:rPr>
            </w:pPr>
          </w:p>
          <w:p w:rsidR="00A56E93" w:rsidRPr="00076CE1" w:rsidRDefault="00E56C9A" w:rsidP="00A56E93">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294.5</w:t>
            </w:r>
          </w:p>
        </w:tc>
        <w:tc>
          <w:tcPr>
            <w:tcW w:w="1640" w:type="dxa"/>
            <w:shd w:val="clear" w:color="auto" w:fill="auto"/>
          </w:tcPr>
          <w:p w:rsidR="00A56E93" w:rsidRPr="00076CE1" w:rsidRDefault="00E56C9A" w:rsidP="00A56E93">
            <w:pPr>
              <w:jc w:val="right"/>
              <w:rPr>
                <w:rFonts w:ascii="Arial" w:eastAsia="Arial Unicode MS" w:hAnsi="Arial" w:cs="Arial"/>
                <w:color w:val="000000"/>
                <w:sz w:val="20"/>
                <w:szCs w:val="20"/>
              </w:rPr>
            </w:pPr>
          </w:p>
        </w:tc>
        <w:tc>
          <w:tcPr>
            <w:tcW w:w="1594" w:type="dxa"/>
            <w:shd w:val="clear" w:color="auto" w:fill="auto"/>
          </w:tcPr>
          <w:p w:rsidR="00287756" w:rsidRPr="00076CE1" w:rsidRDefault="00E56C9A" w:rsidP="00A56E93">
            <w:pPr>
              <w:jc w:val="right"/>
              <w:rPr>
                <w:rFonts w:ascii="Arial" w:eastAsia="Arial Unicode MS" w:hAnsi="Arial" w:cs="Arial"/>
                <w:color w:val="000000"/>
                <w:sz w:val="20"/>
                <w:szCs w:val="20"/>
              </w:rPr>
            </w:pPr>
          </w:p>
        </w:tc>
        <w:tc>
          <w:tcPr>
            <w:tcW w:w="1514" w:type="dxa"/>
            <w:shd w:val="clear" w:color="auto" w:fill="auto"/>
          </w:tcPr>
          <w:p w:rsidR="00287756" w:rsidRPr="00C24477" w:rsidRDefault="00E56C9A" w:rsidP="00287756">
            <w:pPr>
              <w:jc w:val="right"/>
              <w:rPr>
                <w:rFonts w:ascii="Arial" w:eastAsia="Arial Unicode MS" w:hAnsi="Arial" w:cs="Arial"/>
                <w:sz w:val="20"/>
                <w:szCs w:val="20"/>
              </w:rPr>
            </w:pPr>
          </w:p>
          <w:p w:rsidR="00A56E93" w:rsidRPr="00C24477" w:rsidRDefault="00E56C9A" w:rsidP="00A56E93">
            <w:pPr>
              <w:jc w:val="right"/>
              <w:rPr>
                <w:rFonts w:ascii="Arial" w:eastAsia="Arial Unicode MS" w:hAnsi="Arial" w:cs="Arial"/>
                <w:sz w:val="20"/>
                <w:szCs w:val="20"/>
              </w:rPr>
            </w:pPr>
            <w:r w:rsidRPr="00C24477">
              <w:rPr>
                <w:rFonts w:ascii="Arial" w:eastAsia="Arial Unicode MS" w:hAnsi="Arial" w:cs="Arial"/>
                <w:sz w:val="20"/>
                <w:szCs w:val="20"/>
              </w:rPr>
              <w:t>(329.0)</w:t>
            </w:r>
          </w:p>
        </w:tc>
        <w:tc>
          <w:tcPr>
            <w:tcW w:w="1496" w:type="dxa"/>
          </w:tcPr>
          <w:p w:rsidR="00A56E93" w:rsidRPr="00076CE1" w:rsidRDefault="00E56C9A" w:rsidP="00A56E93">
            <w:pPr>
              <w:jc w:val="right"/>
              <w:rPr>
                <w:rFonts w:ascii="Arial" w:eastAsia="Arial Unicode MS" w:hAnsi="Arial" w:cs="Arial"/>
                <w:color w:val="000000"/>
                <w:sz w:val="20"/>
                <w:szCs w:val="20"/>
              </w:rPr>
            </w:pPr>
          </w:p>
          <w:p w:rsidR="00A56E93" w:rsidRPr="00076CE1" w:rsidRDefault="00E56C9A" w:rsidP="00A56E93">
            <w:pPr>
              <w:jc w:val="right"/>
              <w:rPr>
                <w:rFonts w:ascii="Arial" w:eastAsia="Arial Unicode MS" w:hAnsi="Arial" w:cs="Arial"/>
                <w:color w:val="000000"/>
                <w:sz w:val="20"/>
                <w:szCs w:val="20"/>
              </w:rPr>
            </w:pPr>
            <w:r>
              <w:rPr>
                <w:rFonts w:ascii="Arial" w:eastAsia="Arial Unicode MS" w:hAnsi="Arial" w:cs="Arial"/>
                <w:color w:val="000000"/>
                <w:sz w:val="20"/>
                <w:szCs w:val="20"/>
              </w:rPr>
              <w:t>-</w:t>
            </w:r>
          </w:p>
        </w:tc>
      </w:tr>
      <w:tr w:rsidR="00B368D6" w:rsidTr="009C43B7">
        <w:trPr>
          <w:trHeight w:val="431"/>
        </w:trPr>
        <w:tc>
          <w:tcPr>
            <w:tcW w:w="2710" w:type="dxa"/>
          </w:tcPr>
          <w:p w:rsidR="00A56E93" w:rsidRPr="00076CE1" w:rsidRDefault="00E56C9A" w:rsidP="00A56E93">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Cash deposits</w:t>
            </w:r>
          </w:p>
        </w:tc>
        <w:tc>
          <w:tcPr>
            <w:tcW w:w="1496" w:type="dxa"/>
          </w:tcPr>
          <w:p w:rsidR="00A56E93" w:rsidRPr="00076CE1" w:rsidRDefault="00E56C9A" w:rsidP="00A56E93">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210.3</w:t>
            </w:r>
          </w:p>
        </w:tc>
        <w:tc>
          <w:tcPr>
            <w:tcW w:w="1640" w:type="dxa"/>
            <w:shd w:val="clear" w:color="auto" w:fill="auto"/>
          </w:tcPr>
          <w:p w:rsidR="00A56E93" w:rsidRPr="00076CE1" w:rsidRDefault="00E56C9A" w:rsidP="00A56E93">
            <w:pPr>
              <w:jc w:val="right"/>
              <w:rPr>
                <w:rFonts w:ascii="Arial" w:eastAsia="Arial Unicode MS" w:hAnsi="Arial" w:cs="Arial"/>
                <w:color w:val="000000"/>
                <w:sz w:val="20"/>
                <w:szCs w:val="20"/>
              </w:rPr>
            </w:pPr>
          </w:p>
        </w:tc>
        <w:tc>
          <w:tcPr>
            <w:tcW w:w="1594" w:type="dxa"/>
            <w:shd w:val="clear" w:color="auto" w:fill="auto"/>
          </w:tcPr>
          <w:p w:rsidR="00A56E93" w:rsidRPr="00076CE1" w:rsidRDefault="00E56C9A" w:rsidP="00A56E93">
            <w:pPr>
              <w:jc w:val="right"/>
              <w:rPr>
                <w:rFonts w:ascii="Arial" w:eastAsia="Arial Unicode MS" w:hAnsi="Arial" w:cs="Arial"/>
                <w:color w:val="000000"/>
                <w:sz w:val="20"/>
                <w:szCs w:val="20"/>
              </w:rPr>
            </w:pPr>
          </w:p>
        </w:tc>
        <w:tc>
          <w:tcPr>
            <w:tcW w:w="1514" w:type="dxa"/>
            <w:shd w:val="clear" w:color="auto" w:fill="auto"/>
          </w:tcPr>
          <w:p w:rsidR="00A56E93" w:rsidRPr="00960119" w:rsidRDefault="00E56C9A" w:rsidP="00A56E93">
            <w:pPr>
              <w:jc w:val="right"/>
              <w:rPr>
                <w:rFonts w:ascii="Arial" w:eastAsia="Arial Unicode MS" w:hAnsi="Arial" w:cs="Arial"/>
                <w:color w:val="000000"/>
                <w:sz w:val="20"/>
                <w:szCs w:val="20"/>
                <w:highlight w:val="yellow"/>
              </w:rPr>
            </w:pPr>
            <w:r w:rsidRPr="00287756">
              <w:rPr>
                <w:rFonts w:ascii="Arial" w:eastAsia="Arial Unicode MS" w:hAnsi="Arial" w:cs="Arial"/>
                <w:color w:val="000000"/>
                <w:sz w:val="20"/>
                <w:szCs w:val="20"/>
              </w:rPr>
              <w:t>26.6</w:t>
            </w:r>
          </w:p>
        </w:tc>
        <w:tc>
          <w:tcPr>
            <w:tcW w:w="1496" w:type="dxa"/>
          </w:tcPr>
          <w:p w:rsidR="00A56E93" w:rsidRPr="00076CE1" w:rsidRDefault="00E56C9A" w:rsidP="00A56E93">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56.3</w:t>
            </w:r>
          </w:p>
        </w:tc>
      </w:tr>
      <w:tr w:rsidR="00B368D6" w:rsidTr="00287756">
        <w:trPr>
          <w:trHeight w:val="431"/>
        </w:trPr>
        <w:tc>
          <w:tcPr>
            <w:tcW w:w="2710" w:type="dxa"/>
          </w:tcPr>
          <w:p w:rsidR="00A56E93" w:rsidRPr="00076CE1" w:rsidRDefault="00E56C9A" w:rsidP="00A56E93">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Investment accruals</w:t>
            </w:r>
          </w:p>
        </w:tc>
        <w:tc>
          <w:tcPr>
            <w:tcW w:w="1496" w:type="dxa"/>
          </w:tcPr>
          <w:p w:rsidR="00A56E93" w:rsidRPr="00076CE1" w:rsidRDefault="00E56C9A" w:rsidP="00A56E93">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13.1</w:t>
            </w:r>
          </w:p>
        </w:tc>
        <w:tc>
          <w:tcPr>
            <w:tcW w:w="1640" w:type="dxa"/>
          </w:tcPr>
          <w:p w:rsidR="00A56E93" w:rsidRPr="00076CE1" w:rsidRDefault="00E56C9A" w:rsidP="00A56E93">
            <w:pPr>
              <w:jc w:val="right"/>
              <w:rPr>
                <w:rFonts w:ascii="Arial" w:eastAsia="Arial Unicode MS" w:hAnsi="Arial" w:cs="Arial"/>
                <w:color w:val="000000"/>
                <w:sz w:val="20"/>
                <w:szCs w:val="20"/>
              </w:rPr>
            </w:pPr>
          </w:p>
        </w:tc>
        <w:tc>
          <w:tcPr>
            <w:tcW w:w="1594" w:type="dxa"/>
          </w:tcPr>
          <w:p w:rsidR="00A56E93" w:rsidRPr="00076CE1" w:rsidRDefault="00E56C9A" w:rsidP="00A56E93">
            <w:pPr>
              <w:jc w:val="right"/>
              <w:rPr>
                <w:rFonts w:ascii="Arial" w:eastAsia="Arial Unicode MS" w:hAnsi="Arial" w:cs="Arial"/>
                <w:color w:val="000000"/>
                <w:sz w:val="20"/>
                <w:szCs w:val="20"/>
              </w:rPr>
            </w:pPr>
          </w:p>
        </w:tc>
        <w:tc>
          <w:tcPr>
            <w:tcW w:w="1514" w:type="dxa"/>
            <w:shd w:val="clear" w:color="auto" w:fill="auto"/>
          </w:tcPr>
          <w:p w:rsidR="00A56E93" w:rsidRPr="00076CE1" w:rsidRDefault="00E56C9A" w:rsidP="00A56E93">
            <w:pPr>
              <w:jc w:val="right"/>
              <w:rPr>
                <w:rFonts w:ascii="Arial" w:eastAsia="Arial Unicode MS" w:hAnsi="Arial" w:cs="Arial"/>
                <w:color w:val="000000"/>
                <w:sz w:val="20"/>
                <w:szCs w:val="20"/>
              </w:rPr>
            </w:pPr>
          </w:p>
        </w:tc>
        <w:tc>
          <w:tcPr>
            <w:tcW w:w="1496" w:type="dxa"/>
          </w:tcPr>
          <w:p w:rsidR="00A56E93" w:rsidRPr="00076CE1" w:rsidRDefault="00E56C9A" w:rsidP="00A56E93">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2.7</w:t>
            </w:r>
          </w:p>
        </w:tc>
      </w:tr>
      <w:tr w:rsidR="00B368D6" w:rsidTr="00A56E93">
        <w:trPr>
          <w:trHeight w:val="431"/>
        </w:trPr>
        <w:tc>
          <w:tcPr>
            <w:tcW w:w="2710" w:type="dxa"/>
            <w:shd w:val="clear" w:color="auto" w:fill="E7E6E6" w:themeFill="background2"/>
          </w:tcPr>
          <w:p w:rsidR="00A56E93" w:rsidRPr="00076CE1" w:rsidRDefault="00E56C9A" w:rsidP="00A56E93">
            <w:pPr>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Total Investment assets</w:t>
            </w:r>
          </w:p>
        </w:tc>
        <w:tc>
          <w:tcPr>
            <w:tcW w:w="1496" w:type="dxa"/>
            <w:shd w:val="clear" w:color="auto" w:fill="E7E6E6" w:themeFill="background2"/>
          </w:tcPr>
          <w:p w:rsidR="00A56E93" w:rsidRPr="00076CE1" w:rsidRDefault="00E56C9A" w:rsidP="00A56E93">
            <w:pPr>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6,318.3</w:t>
            </w:r>
          </w:p>
        </w:tc>
        <w:tc>
          <w:tcPr>
            <w:tcW w:w="1640" w:type="dxa"/>
            <w:shd w:val="clear" w:color="auto" w:fill="E7E6E6" w:themeFill="background2"/>
          </w:tcPr>
          <w:p w:rsidR="00A56E93" w:rsidRPr="00076CE1" w:rsidRDefault="00E56C9A" w:rsidP="00A56E93">
            <w:pPr>
              <w:jc w:val="right"/>
              <w:rPr>
                <w:rFonts w:ascii="Arial" w:eastAsia="Arial Unicode MS" w:hAnsi="Arial" w:cs="Arial"/>
                <w:b/>
                <w:color w:val="000000"/>
                <w:sz w:val="20"/>
                <w:szCs w:val="20"/>
              </w:rPr>
            </w:pPr>
          </w:p>
        </w:tc>
        <w:tc>
          <w:tcPr>
            <w:tcW w:w="1594" w:type="dxa"/>
            <w:shd w:val="clear" w:color="auto" w:fill="E7E6E6" w:themeFill="background2"/>
          </w:tcPr>
          <w:p w:rsidR="00A56E93" w:rsidRPr="00076CE1" w:rsidRDefault="00E56C9A" w:rsidP="00A56E93">
            <w:pPr>
              <w:jc w:val="right"/>
              <w:rPr>
                <w:rFonts w:ascii="Arial" w:eastAsia="Arial Unicode MS" w:hAnsi="Arial" w:cs="Arial"/>
                <w:b/>
                <w:color w:val="000000"/>
                <w:sz w:val="20"/>
                <w:szCs w:val="20"/>
              </w:rPr>
            </w:pPr>
          </w:p>
        </w:tc>
        <w:tc>
          <w:tcPr>
            <w:tcW w:w="1514" w:type="dxa"/>
            <w:shd w:val="clear" w:color="auto" w:fill="E7E6E6" w:themeFill="background2"/>
          </w:tcPr>
          <w:p w:rsidR="00A56E93" w:rsidRPr="00076CE1" w:rsidRDefault="00E56C9A" w:rsidP="00287756">
            <w:pPr>
              <w:jc w:val="right"/>
              <w:rPr>
                <w:rFonts w:ascii="Arial" w:eastAsia="Arial Unicode MS" w:hAnsi="Arial" w:cs="Arial"/>
                <w:b/>
                <w:color w:val="000000"/>
                <w:sz w:val="20"/>
                <w:szCs w:val="20"/>
              </w:rPr>
            </w:pPr>
            <w:r>
              <w:rPr>
                <w:rFonts w:ascii="Arial" w:eastAsia="Arial Unicode MS" w:hAnsi="Arial" w:cs="Arial"/>
                <w:b/>
                <w:color w:val="000000"/>
                <w:sz w:val="20"/>
                <w:szCs w:val="20"/>
              </w:rPr>
              <w:t>842.2</w:t>
            </w:r>
          </w:p>
        </w:tc>
        <w:tc>
          <w:tcPr>
            <w:tcW w:w="1496" w:type="dxa"/>
            <w:shd w:val="clear" w:color="auto" w:fill="E7E6E6" w:themeFill="background2"/>
          </w:tcPr>
          <w:p w:rsidR="00A56E93" w:rsidRPr="00076CE1" w:rsidRDefault="00E56C9A" w:rsidP="00A56E93">
            <w:pPr>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7,191.4</w:t>
            </w:r>
          </w:p>
        </w:tc>
      </w:tr>
      <w:tr w:rsidR="00B368D6" w:rsidTr="00C24477">
        <w:trPr>
          <w:trHeight w:val="431"/>
        </w:trPr>
        <w:tc>
          <w:tcPr>
            <w:tcW w:w="2710" w:type="dxa"/>
          </w:tcPr>
          <w:p w:rsidR="00A56E93" w:rsidRPr="00076CE1" w:rsidRDefault="00E56C9A" w:rsidP="00A56E93">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Derivatives contracts:</w:t>
            </w:r>
          </w:p>
          <w:p w:rsidR="00A56E93" w:rsidRPr="00076CE1" w:rsidRDefault="00E56C9A" w:rsidP="00A56E93">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Forward currency contracts liability value</w:t>
            </w:r>
          </w:p>
        </w:tc>
        <w:tc>
          <w:tcPr>
            <w:tcW w:w="1496" w:type="dxa"/>
          </w:tcPr>
          <w:p w:rsidR="00A56E93" w:rsidRPr="00076CE1" w:rsidRDefault="00E56C9A" w:rsidP="00A56E93">
            <w:pPr>
              <w:jc w:val="right"/>
              <w:rPr>
                <w:rFonts w:ascii="Arial" w:eastAsia="Arial Unicode MS" w:hAnsi="Arial" w:cs="Arial"/>
                <w:color w:val="000000"/>
                <w:sz w:val="20"/>
                <w:szCs w:val="20"/>
              </w:rPr>
            </w:pPr>
          </w:p>
          <w:p w:rsidR="00A56E93" w:rsidRPr="00076CE1" w:rsidRDefault="00E56C9A" w:rsidP="00A56E93">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(291.0)</w:t>
            </w:r>
          </w:p>
        </w:tc>
        <w:tc>
          <w:tcPr>
            <w:tcW w:w="1640" w:type="dxa"/>
            <w:shd w:val="clear" w:color="auto" w:fill="auto"/>
          </w:tcPr>
          <w:p w:rsidR="00A56E93" w:rsidRPr="00076CE1" w:rsidRDefault="00E56C9A" w:rsidP="00A56E93">
            <w:pPr>
              <w:jc w:val="right"/>
              <w:rPr>
                <w:rFonts w:ascii="Arial" w:eastAsia="Arial Unicode MS" w:hAnsi="Arial" w:cs="Arial"/>
                <w:color w:val="000000"/>
                <w:sz w:val="20"/>
                <w:szCs w:val="20"/>
              </w:rPr>
            </w:pPr>
          </w:p>
        </w:tc>
        <w:tc>
          <w:tcPr>
            <w:tcW w:w="1594" w:type="dxa"/>
            <w:shd w:val="clear" w:color="auto" w:fill="auto"/>
          </w:tcPr>
          <w:p w:rsidR="00A56E93" w:rsidRPr="00076CE1" w:rsidRDefault="00E56C9A" w:rsidP="00A56E93">
            <w:pPr>
              <w:jc w:val="right"/>
              <w:rPr>
                <w:rFonts w:ascii="Arial" w:eastAsia="Arial Unicode MS" w:hAnsi="Arial" w:cs="Arial"/>
                <w:color w:val="000000"/>
                <w:sz w:val="20"/>
                <w:szCs w:val="20"/>
              </w:rPr>
            </w:pPr>
          </w:p>
        </w:tc>
        <w:tc>
          <w:tcPr>
            <w:tcW w:w="1514" w:type="dxa"/>
            <w:shd w:val="clear" w:color="auto" w:fill="auto"/>
          </w:tcPr>
          <w:p w:rsidR="00287756" w:rsidRPr="00C24477" w:rsidRDefault="00E56C9A" w:rsidP="00A56E93">
            <w:pPr>
              <w:jc w:val="right"/>
              <w:rPr>
                <w:rFonts w:ascii="Arial" w:eastAsia="Arial Unicode MS" w:hAnsi="Arial" w:cs="Arial"/>
                <w:color w:val="000000"/>
                <w:sz w:val="20"/>
                <w:szCs w:val="20"/>
              </w:rPr>
            </w:pPr>
          </w:p>
          <w:p w:rsidR="00A56E93" w:rsidRPr="00C24477" w:rsidRDefault="00E56C9A" w:rsidP="00A56E93">
            <w:pPr>
              <w:jc w:val="right"/>
              <w:rPr>
                <w:rFonts w:ascii="Arial" w:eastAsia="Arial Unicode MS" w:hAnsi="Arial" w:cs="Arial"/>
                <w:color w:val="000000"/>
                <w:sz w:val="20"/>
                <w:szCs w:val="20"/>
              </w:rPr>
            </w:pPr>
            <w:r w:rsidRPr="00C24477">
              <w:rPr>
                <w:rFonts w:ascii="Arial" w:eastAsia="Arial Unicode MS" w:hAnsi="Arial" w:cs="Arial"/>
                <w:color w:val="000000"/>
                <w:sz w:val="20"/>
                <w:szCs w:val="20"/>
              </w:rPr>
              <w:t>291.0</w:t>
            </w:r>
          </w:p>
        </w:tc>
        <w:tc>
          <w:tcPr>
            <w:tcW w:w="1496" w:type="dxa"/>
            <w:shd w:val="clear" w:color="auto" w:fill="auto"/>
          </w:tcPr>
          <w:p w:rsidR="00A56E93" w:rsidRPr="00C24477" w:rsidRDefault="00E56C9A" w:rsidP="00A56E93">
            <w:pPr>
              <w:jc w:val="right"/>
              <w:rPr>
                <w:rFonts w:ascii="Arial" w:eastAsia="Arial Unicode MS" w:hAnsi="Arial" w:cs="Arial"/>
                <w:color w:val="000000"/>
                <w:sz w:val="20"/>
                <w:szCs w:val="20"/>
              </w:rPr>
            </w:pPr>
          </w:p>
          <w:p w:rsidR="00A56E93" w:rsidRPr="00C24477" w:rsidRDefault="00E56C9A" w:rsidP="00A56E93">
            <w:pPr>
              <w:jc w:val="right"/>
              <w:rPr>
                <w:rFonts w:ascii="Arial" w:eastAsia="Arial Unicode MS" w:hAnsi="Arial" w:cs="Arial"/>
                <w:color w:val="000000"/>
                <w:sz w:val="20"/>
                <w:szCs w:val="20"/>
              </w:rPr>
            </w:pPr>
            <w:r w:rsidRPr="00C24477">
              <w:rPr>
                <w:rFonts w:ascii="Arial" w:eastAsia="Arial Unicode MS" w:hAnsi="Arial" w:cs="Arial"/>
                <w:color w:val="000000"/>
                <w:sz w:val="20"/>
                <w:szCs w:val="20"/>
              </w:rPr>
              <w:t>-</w:t>
            </w:r>
          </w:p>
        </w:tc>
      </w:tr>
      <w:tr w:rsidR="00B368D6" w:rsidTr="00287756">
        <w:trPr>
          <w:trHeight w:val="431"/>
        </w:trPr>
        <w:tc>
          <w:tcPr>
            <w:tcW w:w="2710" w:type="dxa"/>
            <w:shd w:val="clear" w:color="auto" w:fill="E7E6E6" w:themeFill="background2"/>
          </w:tcPr>
          <w:p w:rsidR="00A56E93" w:rsidRPr="00076CE1" w:rsidRDefault="00E56C9A" w:rsidP="00A56E93">
            <w:pPr>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Net investment assets</w:t>
            </w:r>
          </w:p>
        </w:tc>
        <w:tc>
          <w:tcPr>
            <w:tcW w:w="1496" w:type="dxa"/>
            <w:shd w:val="clear" w:color="auto" w:fill="E7E6E6" w:themeFill="background2"/>
          </w:tcPr>
          <w:p w:rsidR="00A56E93" w:rsidRPr="00076CE1" w:rsidRDefault="00E56C9A" w:rsidP="00A56E93">
            <w:pPr>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6,027.3</w:t>
            </w:r>
          </w:p>
        </w:tc>
        <w:tc>
          <w:tcPr>
            <w:tcW w:w="1640" w:type="dxa"/>
            <w:shd w:val="clear" w:color="auto" w:fill="E7E6E6" w:themeFill="background2"/>
          </w:tcPr>
          <w:p w:rsidR="00A56E93" w:rsidRPr="00076CE1" w:rsidRDefault="00E56C9A" w:rsidP="00A56E93">
            <w:pPr>
              <w:jc w:val="right"/>
              <w:rPr>
                <w:rFonts w:ascii="Arial" w:eastAsia="Arial Unicode MS" w:hAnsi="Arial" w:cs="Arial"/>
                <w:b/>
                <w:color w:val="000000"/>
                <w:sz w:val="20"/>
                <w:szCs w:val="20"/>
              </w:rPr>
            </w:pPr>
          </w:p>
        </w:tc>
        <w:tc>
          <w:tcPr>
            <w:tcW w:w="1594" w:type="dxa"/>
            <w:shd w:val="clear" w:color="auto" w:fill="E7E6E6" w:themeFill="background2"/>
          </w:tcPr>
          <w:p w:rsidR="00A56E93" w:rsidRPr="00076CE1" w:rsidRDefault="00E56C9A" w:rsidP="00A56E93">
            <w:pPr>
              <w:jc w:val="right"/>
              <w:rPr>
                <w:rFonts w:ascii="Arial" w:eastAsia="Arial Unicode MS" w:hAnsi="Arial" w:cs="Arial"/>
                <w:b/>
                <w:color w:val="000000"/>
                <w:sz w:val="20"/>
                <w:szCs w:val="20"/>
              </w:rPr>
            </w:pPr>
          </w:p>
        </w:tc>
        <w:tc>
          <w:tcPr>
            <w:tcW w:w="1514" w:type="dxa"/>
            <w:shd w:val="clear" w:color="auto" w:fill="E7E6E6" w:themeFill="background2"/>
          </w:tcPr>
          <w:p w:rsidR="00A56E93" w:rsidRPr="00076CE1" w:rsidRDefault="00E56C9A" w:rsidP="00A56E93">
            <w:pPr>
              <w:jc w:val="right"/>
              <w:rPr>
                <w:rFonts w:ascii="Arial" w:eastAsia="Arial Unicode MS" w:hAnsi="Arial" w:cs="Arial"/>
                <w:b/>
                <w:color w:val="000000"/>
                <w:sz w:val="20"/>
                <w:szCs w:val="20"/>
              </w:rPr>
            </w:pPr>
            <w:r>
              <w:rPr>
                <w:rFonts w:ascii="Arial" w:eastAsia="Arial Unicode MS" w:hAnsi="Arial" w:cs="Arial"/>
                <w:b/>
                <w:color w:val="000000"/>
                <w:sz w:val="20"/>
                <w:szCs w:val="20"/>
              </w:rPr>
              <w:t>1,133.2</w:t>
            </w:r>
          </w:p>
        </w:tc>
        <w:tc>
          <w:tcPr>
            <w:tcW w:w="1496" w:type="dxa"/>
            <w:shd w:val="clear" w:color="auto" w:fill="E7E6E6" w:themeFill="background2"/>
          </w:tcPr>
          <w:p w:rsidR="00A56E93" w:rsidRPr="00076CE1" w:rsidRDefault="00E56C9A" w:rsidP="00A56E93">
            <w:pPr>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7,191.4</w:t>
            </w:r>
          </w:p>
        </w:tc>
      </w:tr>
    </w:tbl>
    <w:p w:rsidR="001C1335" w:rsidRDefault="00E56C9A" w:rsidP="001C1335">
      <w:pPr>
        <w:autoSpaceDE w:val="0"/>
        <w:autoSpaceDN w:val="0"/>
        <w:adjustRightInd w:val="0"/>
        <w:contextualSpacing/>
        <w:jc w:val="both"/>
        <w:rPr>
          <w:rFonts w:ascii="Arial" w:eastAsia="Arial Unicode MS" w:hAnsi="Arial" w:cs="Arial"/>
          <w:color w:val="000000"/>
          <w:sz w:val="22"/>
          <w:szCs w:val="22"/>
          <w:vertAlign w:val="superscript"/>
        </w:rPr>
      </w:pPr>
    </w:p>
    <w:p w:rsidR="001C1335" w:rsidRPr="001303FE" w:rsidRDefault="00E56C9A" w:rsidP="001C1335">
      <w:pPr>
        <w:autoSpaceDE w:val="0"/>
        <w:autoSpaceDN w:val="0"/>
        <w:adjustRightInd w:val="0"/>
        <w:contextualSpacing/>
        <w:jc w:val="both"/>
        <w:rPr>
          <w:rFonts w:ascii="Arial" w:eastAsia="Arial Unicode MS" w:hAnsi="Arial" w:cs="Arial"/>
          <w:color w:val="000000"/>
          <w:sz w:val="18"/>
          <w:szCs w:val="18"/>
        </w:rPr>
      </w:pPr>
      <w:r w:rsidRPr="001303FE">
        <w:rPr>
          <w:rFonts w:ascii="Arial" w:eastAsia="Arial Unicode MS" w:hAnsi="Arial" w:cs="Arial"/>
          <w:color w:val="000000"/>
          <w:sz w:val="18"/>
          <w:szCs w:val="18"/>
          <w:vertAlign w:val="superscript"/>
        </w:rPr>
        <w:lastRenderedPageBreak/>
        <w:t>1</w:t>
      </w:r>
      <w:r w:rsidRPr="001303FE">
        <w:rPr>
          <w:rFonts w:ascii="Arial" w:eastAsia="Arial Unicode MS" w:hAnsi="Arial" w:cs="Arial"/>
          <w:color w:val="000000"/>
          <w:sz w:val="18"/>
          <w:szCs w:val="18"/>
        </w:rPr>
        <w:t>All direct equity holdings were transitioned into the Local Pensions Partnership Global Equities Pool with effect from 1 November 2016.</w:t>
      </w:r>
    </w:p>
    <w:p w:rsidR="001C1335" w:rsidRPr="001303FE" w:rsidRDefault="00E56C9A" w:rsidP="001C1335">
      <w:pPr>
        <w:autoSpaceDE w:val="0"/>
        <w:autoSpaceDN w:val="0"/>
        <w:adjustRightInd w:val="0"/>
        <w:contextualSpacing/>
        <w:jc w:val="both"/>
        <w:rPr>
          <w:rFonts w:ascii="Arial" w:eastAsia="Arial Unicode MS" w:hAnsi="Arial" w:cs="Arial"/>
          <w:color w:val="000000"/>
          <w:sz w:val="18"/>
          <w:szCs w:val="18"/>
        </w:rPr>
      </w:pPr>
    </w:p>
    <w:p w:rsidR="001C1335" w:rsidRPr="001303FE" w:rsidRDefault="00E56C9A" w:rsidP="001C1335">
      <w:pPr>
        <w:autoSpaceDE w:val="0"/>
        <w:autoSpaceDN w:val="0"/>
        <w:adjustRightInd w:val="0"/>
        <w:contextualSpacing/>
        <w:jc w:val="both"/>
        <w:rPr>
          <w:rFonts w:ascii="Arial" w:eastAsia="Arial Unicode MS" w:hAnsi="Arial" w:cs="Arial"/>
          <w:color w:val="000000"/>
          <w:sz w:val="18"/>
          <w:szCs w:val="18"/>
        </w:rPr>
      </w:pPr>
      <w:r w:rsidRPr="001303FE">
        <w:rPr>
          <w:rFonts w:ascii="Arial" w:eastAsia="Arial Unicode MS" w:hAnsi="Arial" w:cs="Arial"/>
          <w:color w:val="000000"/>
          <w:sz w:val="18"/>
          <w:szCs w:val="18"/>
          <w:vertAlign w:val="superscript"/>
        </w:rPr>
        <w:t>2</w:t>
      </w:r>
      <w:r w:rsidRPr="001303FE">
        <w:rPr>
          <w:rFonts w:ascii="Arial" w:eastAsia="Arial Unicode MS" w:hAnsi="Arial" w:cs="Arial"/>
          <w:color w:val="000000"/>
          <w:sz w:val="18"/>
          <w:szCs w:val="18"/>
        </w:rPr>
        <w:t xml:space="preserve">The value of pooled property investments was previously included within total pooled </w:t>
      </w:r>
      <w:r w:rsidRPr="001303FE">
        <w:rPr>
          <w:rFonts w:ascii="Arial" w:eastAsia="Arial Unicode MS" w:hAnsi="Arial" w:cs="Arial"/>
          <w:color w:val="000000"/>
          <w:sz w:val="18"/>
          <w:szCs w:val="18"/>
        </w:rPr>
        <w:t>investment vehicles.</w:t>
      </w:r>
      <w:r>
        <w:rPr>
          <w:rFonts w:ascii="Arial" w:eastAsia="Arial Unicode MS" w:hAnsi="Arial" w:cs="Arial"/>
          <w:color w:val="000000"/>
          <w:sz w:val="18"/>
          <w:szCs w:val="18"/>
        </w:rPr>
        <w:t xml:space="preserve">  Pooled investment vehicles includes the LPP Globa</w:t>
      </w:r>
      <w:r>
        <w:rPr>
          <w:rFonts w:ascii="Arial" w:eastAsia="Arial Unicode MS" w:hAnsi="Arial" w:cs="Arial"/>
          <w:color w:val="000000"/>
          <w:sz w:val="18"/>
          <w:szCs w:val="18"/>
        </w:rPr>
        <w:t>l</w:t>
      </w:r>
      <w:r>
        <w:rPr>
          <w:rFonts w:ascii="Arial" w:eastAsia="Arial Unicode MS" w:hAnsi="Arial" w:cs="Arial"/>
          <w:color w:val="000000"/>
          <w:sz w:val="18"/>
          <w:szCs w:val="18"/>
        </w:rPr>
        <w:t xml:space="preserve"> Equities Pool.</w:t>
      </w:r>
    </w:p>
    <w:p w:rsidR="001C1335" w:rsidRPr="001C1335" w:rsidRDefault="00E56C9A" w:rsidP="001C1335">
      <w:pPr>
        <w:autoSpaceDE w:val="0"/>
        <w:autoSpaceDN w:val="0"/>
        <w:adjustRightInd w:val="0"/>
        <w:contextualSpacing/>
        <w:jc w:val="both"/>
        <w:rPr>
          <w:rFonts w:ascii="Arial" w:eastAsia="Arial Unicode MS" w:hAnsi="Arial" w:cs="Arial"/>
          <w:color w:val="000000"/>
          <w:sz w:val="22"/>
          <w:szCs w:val="22"/>
        </w:rPr>
      </w:pPr>
    </w:p>
    <w:p w:rsidR="00CF7BAD" w:rsidRPr="00076CE1" w:rsidRDefault="00E56C9A" w:rsidP="00DC78E9">
      <w:pPr>
        <w:autoSpaceDE w:val="0"/>
        <w:autoSpaceDN w:val="0"/>
        <w:adjustRightInd w:val="0"/>
        <w:contextualSpacing/>
        <w:jc w:val="both"/>
        <w:rPr>
          <w:rFonts w:ascii="Arial" w:eastAsia="Arial Unicode MS" w:hAnsi="Arial" w:cs="Arial"/>
          <w:b/>
          <w:color w:val="000000"/>
          <w:sz w:val="32"/>
          <w:szCs w:val="22"/>
        </w:rPr>
      </w:pPr>
    </w:p>
    <w:p w:rsidR="00DC78E9" w:rsidRPr="00076CE1" w:rsidRDefault="00E56C9A" w:rsidP="00DC78E9">
      <w:pPr>
        <w:autoSpaceDE w:val="0"/>
        <w:autoSpaceDN w:val="0"/>
        <w:adjustRightInd w:val="0"/>
        <w:contextualSpacing/>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2015/16</w:t>
      </w:r>
    </w:p>
    <w:p w:rsidR="00DC78E9" w:rsidRPr="00076CE1" w:rsidRDefault="00E56C9A" w:rsidP="00DC78E9">
      <w:pPr>
        <w:autoSpaceDE w:val="0"/>
        <w:autoSpaceDN w:val="0"/>
        <w:adjustRightInd w:val="0"/>
        <w:ind w:left="862"/>
        <w:contextualSpacing/>
        <w:jc w:val="both"/>
        <w:rPr>
          <w:rFonts w:ascii="Arial" w:eastAsia="Arial Unicode MS" w:hAnsi="Arial" w:cs="Arial"/>
          <w:b/>
          <w:color w:val="000000"/>
          <w:sz w:val="22"/>
          <w:szCs w:val="22"/>
        </w:rPr>
      </w:pPr>
    </w:p>
    <w:tbl>
      <w:tblPr>
        <w:tblStyle w:val="TableGrid2"/>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705"/>
        <w:gridCol w:w="1477"/>
        <w:gridCol w:w="1661"/>
        <w:gridCol w:w="1618"/>
        <w:gridCol w:w="1512"/>
        <w:gridCol w:w="1477"/>
      </w:tblGrid>
      <w:tr w:rsidR="00B368D6" w:rsidTr="00105290">
        <w:tc>
          <w:tcPr>
            <w:tcW w:w="4248" w:type="dxa"/>
            <w:tcBorders>
              <w:bottom w:val="nil"/>
            </w:tcBorders>
            <w:shd w:val="clear" w:color="auto" w:fill="E7E6E6" w:themeFill="background2"/>
          </w:tcPr>
          <w:p w:rsidR="00DC78E9" w:rsidRPr="00076CE1" w:rsidRDefault="00E56C9A" w:rsidP="00105290">
            <w:pPr>
              <w:autoSpaceDE w:val="0"/>
              <w:autoSpaceDN w:val="0"/>
              <w:adjustRightInd w:val="0"/>
              <w:jc w:val="both"/>
              <w:rPr>
                <w:rFonts w:ascii="Arial" w:eastAsia="Arial Unicode MS" w:hAnsi="Arial" w:cs="Arial"/>
                <w:b/>
                <w:color w:val="000000"/>
                <w:sz w:val="20"/>
                <w:szCs w:val="20"/>
              </w:rPr>
            </w:pPr>
          </w:p>
        </w:tc>
        <w:tc>
          <w:tcPr>
            <w:tcW w:w="2154" w:type="dxa"/>
            <w:shd w:val="clear" w:color="auto" w:fill="E7E6E6" w:themeFill="background2"/>
          </w:tcPr>
          <w:p w:rsidR="00DC78E9" w:rsidRPr="00076CE1" w:rsidRDefault="00E56C9A" w:rsidP="00105290">
            <w:pPr>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Market value as at</w:t>
            </w:r>
          </w:p>
          <w:p w:rsidR="00DC78E9" w:rsidRPr="00076CE1" w:rsidRDefault="00E56C9A" w:rsidP="00105290">
            <w:pPr>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1 April 2015</w:t>
            </w:r>
          </w:p>
        </w:tc>
        <w:tc>
          <w:tcPr>
            <w:tcW w:w="2155" w:type="dxa"/>
            <w:shd w:val="clear" w:color="auto" w:fill="E7E6E6" w:themeFill="background2"/>
          </w:tcPr>
          <w:p w:rsidR="00DC78E9" w:rsidRPr="00076CE1" w:rsidRDefault="00E56C9A" w:rsidP="00105290">
            <w:pPr>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Purchases at cost and derivative payments</w:t>
            </w:r>
          </w:p>
        </w:tc>
        <w:tc>
          <w:tcPr>
            <w:tcW w:w="2154" w:type="dxa"/>
            <w:shd w:val="clear" w:color="auto" w:fill="E7E6E6" w:themeFill="background2"/>
          </w:tcPr>
          <w:p w:rsidR="00DC78E9" w:rsidRPr="00076CE1" w:rsidRDefault="00E56C9A" w:rsidP="00105290">
            <w:pPr>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Sales proceeds and derivative receipts</w:t>
            </w:r>
          </w:p>
        </w:tc>
        <w:tc>
          <w:tcPr>
            <w:tcW w:w="2155" w:type="dxa"/>
            <w:shd w:val="clear" w:color="auto" w:fill="E7E6E6" w:themeFill="background2"/>
          </w:tcPr>
          <w:p w:rsidR="00DC78E9" w:rsidRPr="00076CE1" w:rsidRDefault="00E56C9A" w:rsidP="00105290">
            <w:pPr>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Change in market value</w:t>
            </w:r>
          </w:p>
        </w:tc>
        <w:tc>
          <w:tcPr>
            <w:tcW w:w="2155" w:type="dxa"/>
            <w:shd w:val="clear" w:color="auto" w:fill="E7E6E6" w:themeFill="background2"/>
          </w:tcPr>
          <w:p w:rsidR="00DC78E9" w:rsidRPr="00076CE1" w:rsidRDefault="00E56C9A" w:rsidP="00105290">
            <w:pPr>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Market value as at</w:t>
            </w:r>
          </w:p>
          <w:p w:rsidR="00DC78E9" w:rsidRPr="00076CE1" w:rsidRDefault="00E56C9A" w:rsidP="00105290">
            <w:pPr>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31 March 2016</w:t>
            </w:r>
          </w:p>
        </w:tc>
      </w:tr>
      <w:tr w:rsidR="00B368D6" w:rsidTr="00105290">
        <w:trPr>
          <w:trHeight w:val="431"/>
        </w:trPr>
        <w:tc>
          <w:tcPr>
            <w:tcW w:w="4248" w:type="dxa"/>
            <w:tcBorders>
              <w:top w:val="nil"/>
            </w:tcBorders>
            <w:shd w:val="clear" w:color="auto" w:fill="E7E6E6" w:themeFill="background2"/>
          </w:tcPr>
          <w:p w:rsidR="00DC78E9" w:rsidRPr="00076CE1" w:rsidRDefault="00E56C9A" w:rsidP="00AC2AD6">
            <w:pPr>
              <w:jc w:val="right"/>
              <w:rPr>
                <w:rFonts w:ascii="Arial" w:eastAsia="Arial Unicode MS" w:hAnsi="Arial" w:cs="Arial"/>
                <w:color w:val="000000"/>
                <w:sz w:val="20"/>
                <w:szCs w:val="20"/>
              </w:rPr>
            </w:pPr>
          </w:p>
        </w:tc>
        <w:tc>
          <w:tcPr>
            <w:tcW w:w="2154" w:type="dxa"/>
            <w:shd w:val="clear" w:color="auto" w:fill="E7E6E6" w:themeFill="background2"/>
          </w:tcPr>
          <w:p w:rsidR="00DC78E9" w:rsidRPr="00076CE1" w:rsidRDefault="00E56C9A" w:rsidP="00AC2AD6">
            <w:pPr>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2155" w:type="dxa"/>
            <w:shd w:val="clear" w:color="auto" w:fill="E7E6E6" w:themeFill="background2"/>
          </w:tcPr>
          <w:p w:rsidR="00DC78E9" w:rsidRPr="00076CE1" w:rsidRDefault="00E56C9A" w:rsidP="00AC2AD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2154" w:type="dxa"/>
            <w:shd w:val="clear" w:color="auto" w:fill="E7E6E6" w:themeFill="background2"/>
          </w:tcPr>
          <w:p w:rsidR="00DC78E9" w:rsidRPr="00076CE1" w:rsidRDefault="00E56C9A" w:rsidP="00AC2AD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2155" w:type="dxa"/>
            <w:shd w:val="clear" w:color="auto" w:fill="E7E6E6" w:themeFill="background2"/>
          </w:tcPr>
          <w:p w:rsidR="00DC78E9" w:rsidRPr="00076CE1" w:rsidRDefault="00E56C9A" w:rsidP="00AC2AD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2155" w:type="dxa"/>
            <w:shd w:val="clear" w:color="auto" w:fill="E7E6E6" w:themeFill="background2"/>
          </w:tcPr>
          <w:p w:rsidR="00DC78E9" w:rsidRPr="00076CE1" w:rsidRDefault="00E56C9A" w:rsidP="00AC2AD6">
            <w:pPr>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r>
      <w:tr w:rsidR="00B368D6" w:rsidTr="00105290">
        <w:trPr>
          <w:trHeight w:val="431"/>
        </w:trPr>
        <w:tc>
          <w:tcPr>
            <w:tcW w:w="4248" w:type="dxa"/>
          </w:tcPr>
          <w:p w:rsidR="00DC78E9" w:rsidRPr="00076CE1" w:rsidRDefault="00E56C9A" w:rsidP="00105290">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Fixed interest securities</w:t>
            </w:r>
          </w:p>
        </w:tc>
        <w:tc>
          <w:tcPr>
            <w:tcW w:w="2154"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148.8</w:t>
            </w:r>
          </w:p>
        </w:tc>
        <w:tc>
          <w:tcPr>
            <w:tcW w:w="2155"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103.2</w:t>
            </w:r>
          </w:p>
        </w:tc>
        <w:tc>
          <w:tcPr>
            <w:tcW w:w="2154"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(126.8)</w:t>
            </w:r>
          </w:p>
        </w:tc>
        <w:tc>
          <w:tcPr>
            <w:tcW w:w="2155"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(2.1)</w:t>
            </w:r>
          </w:p>
        </w:tc>
        <w:tc>
          <w:tcPr>
            <w:tcW w:w="2155"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123.1</w:t>
            </w:r>
          </w:p>
        </w:tc>
      </w:tr>
      <w:tr w:rsidR="00B368D6" w:rsidTr="00105290">
        <w:trPr>
          <w:trHeight w:val="431"/>
        </w:trPr>
        <w:tc>
          <w:tcPr>
            <w:tcW w:w="4248" w:type="dxa"/>
          </w:tcPr>
          <w:p w:rsidR="00DC78E9" w:rsidRPr="00076CE1" w:rsidRDefault="00E56C9A" w:rsidP="00105290">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Equities</w:t>
            </w:r>
            <w:r w:rsidRPr="00E73E1A">
              <w:rPr>
                <w:rFonts w:ascii="Arial" w:eastAsia="Arial Unicode MS" w:hAnsi="Arial" w:cs="Arial"/>
                <w:color w:val="000000"/>
                <w:sz w:val="20"/>
                <w:szCs w:val="20"/>
                <w:vertAlign w:val="superscript"/>
              </w:rPr>
              <w:t>1</w:t>
            </w:r>
          </w:p>
        </w:tc>
        <w:tc>
          <w:tcPr>
            <w:tcW w:w="2154"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2,000.7</w:t>
            </w:r>
          </w:p>
        </w:tc>
        <w:tc>
          <w:tcPr>
            <w:tcW w:w="2155"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377.7</w:t>
            </w:r>
          </w:p>
        </w:tc>
        <w:tc>
          <w:tcPr>
            <w:tcW w:w="2154"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(347.6)</w:t>
            </w:r>
          </w:p>
        </w:tc>
        <w:tc>
          <w:tcPr>
            <w:tcW w:w="2155"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39.1</w:t>
            </w:r>
          </w:p>
        </w:tc>
        <w:tc>
          <w:tcPr>
            <w:tcW w:w="2155"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2,069.9</w:t>
            </w:r>
          </w:p>
        </w:tc>
      </w:tr>
      <w:tr w:rsidR="00B368D6" w:rsidTr="00105290">
        <w:trPr>
          <w:trHeight w:val="431"/>
        </w:trPr>
        <w:tc>
          <w:tcPr>
            <w:tcW w:w="4248" w:type="dxa"/>
          </w:tcPr>
          <w:p w:rsidR="00DC78E9" w:rsidRPr="00076CE1" w:rsidRDefault="00E56C9A" w:rsidP="00105290">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Index linked securities</w:t>
            </w:r>
          </w:p>
        </w:tc>
        <w:tc>
          <w:tcPr>
            <w:tcW w:w="2154"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317.9</w:t>
            </w:r>
          </w:p>
        </w:tc>
        <w:tc>
          <w:tcPr>
            <w:tcW w:w="2155"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865.0</w:t>
            </w:r>
          </w:p>
        </w:tc>
        <w:tc>
          <w:tcPr>
            <w:tcW w:w="2154"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(1,115.5)</w:t>
            </w:r>
          </w:p>
        </w:tc>
        <w:tc>
          <w:tcPr>
            <w:tcW w:w="2155"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(3.7)</w:t>
            </w:r>
          </w:p>
        </w:tc>
        <w:tc>
          <w:tcPr>
            <w:tcW w:w="2155"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63.7</w:t>
            </w:r>
          </w:p>
        </w:tc>
      </w:tr>
      <w:tr w:rsidR="00B368D6" w:rsidTr="00325B17">
        <w:trPr>
          <w:trHeight w:val="431"/>
        </w:trPr>
        <w:tc>
          <w:tcPr>
            <w:tcW w:w="4248" w:type="dxa"/>
          </w:tcPr>
          <w:p w:rsidR="00DC78E9" w:rsidRPr="00076CE1" w:rsidRDefault="00E56C9A" w:rsidP="00105290">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Pooled investment vehicles</w:t>
            </w:r>
            <w:r w:rsidRPr="00E73E1A">
              <w:rPr>
                <w:rFonts w:ascii="Arial" w:eastAsia="Arial Unicode MS" w:hAnsi="Arial" w:cs="Arial"/>
                <w:color w:val="000000"/>
                <w:sz w:val="20"/>
                <w:szCs w:val="20"/>
                <w:vertAlign w:val="superscript"/>
              </w:rPr>
              <w:t>2</w:t>
            </w:r>
          </w:p>
        </w:tc>
        <w:tc>
          <w:tcPr>
            <w:tcW w:w="2154" w:type="dxa"/>
            <w:shd w:val="clear" w:color="auto" w:fill="auto"/>
          </w:tcPr>
          <w:p w:rsidR="00DC78E9" w:rsidRPr="00287756" w:rsidRDefault="00E56C9A" w:rsidP="00105290">
            <w:pPr>
              <w:jc w:val="right"/>
              <w:rPr>
                <w:rFonts w:ascii="Arial" w:eastAsia="Arial Unicode MS" w:hAnsi="Arial" w:cs="Arial"/>
                <w:color w:val="000000"/>
                <w:sz w:val="20"/>
                <w:szCs w:val="20"/>
              </w:rPr>
            </w:pPr>
            <w:r w:rsidRPr="00287756">
              <w:rPr>
                <w:rFonts w:ascii="Arial" w:eastAsia="Arial Unicode MS" w:hAnsi="Arial" w:cs="Arial"/>
                <w:color w:val="000000"/>
                <w:sz w:val="20"/>
                <w:szCs w:val="20"/>
              </w:rPr>
              <w:t>2,697.1</w:t>
            </w:r>
          </w:p>
        </w:tc>
        <w:tc>
          <w:tcPr>
            <w:tcW w:w="2155" w:type="dxa"/>
            <w:shd w:val="clear" w:color="auto" w:fill="auto"/>
          </w:tcPr>
          <w:p w:rsidR="00DC78E9" w:rsidRPr="00325B17" w:rsidRDefault="00E56C9A" w:rsidP="00105290">
            <w:pPr>
              <w:jc w:val="right"/>
              <w:rPr>
                <w:rFonts w:ascii="Arial" w:eastAsia="Arial Unicode MS" w:hAnsi="Arial" w:cs="Arial"/>
                <w:color w:val="000000"/>
                <w:sz w:val="20"/>
                <w:szCs w:val="20"/>
              </w:rPr>
            </w:pPr>
            <w:r w:rsidRPr="00325B17">
              <w:rPr>
                <w:rFonts w:ascii="Arial" w:eastAsia="Arial Unicode MS" w:hAnsi="Arial" w:cs="Arial"/>
                <w:color w:val="000000"/>
                <w:sz w:val="20"/>
                <w:szCs w:val="20"/>
              </w:rPr>
              <w:t>918.5</w:t>
            </w:r>
          </w:p>
        </w:tc>
        <w:tc>
          <w:tcPr>
            <w:tcW w:w="2154" w:type="dxa"/>
            <w:shd w:val="clear" w:color="auto" w:fill="auto"/>
          </w:tcPr>
          <w:p w:rsidR="00DC78E9" w:rsidRPr="00325B17" w:rsidRDefault="00E56C9A" w:rsidP="00325B17">
            <w:pPr>
              <w:jc w:val="right"/>
              <w:rPr>
                <w:rFonts w:ascii="Arial" w:eastAsia="Arial Unicode MS" w:hAnsi="Arial" w:cs="Arial"/>
                <w:color w:val="000000"/>
                <w:sz w:val="20"/>
                <w:szCs w:val="20"/>
              </w:rPr>
            </w:pPr>
            <w:r w:rsidRPr="00325B17">
              <w:rPr>
                <w:rFonts w:ascii="Arial" w:eastAsia="Arial Unicode MS" w:hAnsi="Arial" w:cs="Arial"/>
                <w:color w:val="000000"/>
                <w:sz w:val="20"/>
                <w:szCs w:val="20"/>
              </w:rPr>
              <w:t>(842.</w:t>
            </w:r>
            <w:r w:rsidRPr="00325B17">
              <w:rPr>
                <w:rFonts w:ascii="Arial" w:eastAsia="Arial Unicode MS" w:hAnsi="Arial" w:cs="Arial"/>
                <w:color w:val="000000"/>
                <w:sz w:val="20"/>
                <w:szCs w:val="20"/>
              </w:rPr>
              <w:t>6</w:t>
            </w:r>
            <w:r w:rsidRPr="00325B17">
              <w:rPr>
                <w:rFonts w:ascii="Arial" w:eastAsia="Arial Unicode MS" w:hAnsi="Arial" w:cs="Arial"/>
                <w:color w:val="000000"/>
                <w:sz w:val="20"/>
                <w:szCs w:val="20"/>
              </w:rPr>
              <w:t>)</w:t>
            </w:r>
          </w:p>
        </w:tc>
        <w:tc>
          <w:tcPr>
            <w:tcW w:w="2155" w:type="dxa"/>
            <w:shd w:val="clear" w:color="auto" w:fill="auto"/>
          </w:tcPr>
          <w:p w:rsidR="00DC78E9" w:rsidRPr="00287756" w:rsidRDefault="00E56C9A" w:rsidP="00105290">
            <w:pPr>
              <w:jc w:val="right"/>
              <w:rPr>
                <w:rFonts w:ascii="Arial" w:eastAsia="Arial Unicode MS" w:hAnsi="Arial" w:cs="Arial"/>
                <w:color w:val="000000"/>
                <w:sz w:val="20"/>
                <w:szCs w:val="20"/>
              </w:rPr>
            </w:pPr>
            <w:r w:rsidRPr="00287756">
              <w:rPr>
                <w:rFonts w:ascii="Arial" w:eastAsia="Arial Unicode MS" w:hAnsi="Arial" w:cs="Arial"/>
                <w:color w:val="000000"/>
                <w:sz w:val="20"/>
                <w:szCs w:val="20"/>
              </w:rPr>
              <w:t>82.0</w:t>
            </w:r>
          </w:p>
        </w:tc>
        <w:tc>
          <w:tcPr>
            <w:tcW w:w="2155" w:type="dxa"/>
          </w:tcPr>
          <w:p w:rsidR="00DC78E9" w:rsidRPr="00076CE1" w:rsidRDefault="00E56C9A" w:rsidP="00105290">
            <w:pPr>
              <w:jc w:val="right"/>
              <w:rPr>
                <w:rFonts w:ascii="Arial" w:eastAsia="Arial Unicode MS" w:hAnsi="Arial" w:cs="Arial"/>
                <w:color w:val="000000"/>
                <w:sz w:val="20"/>
                <w:szCs w:val="20"/>
              </w:rPr>
            </w:pPr>
            <w:r>
              <w:rPr>
                <w:rFonts w:ascii="Arial" w:eastAsia="Arial Unicode MS" w:hAnsi="Arial" w:cs="Arial"/>
                <w:color w:val="000000"/>
                <w:sz w:val="20"/>
                <w:szCs w:val="20"/>
              </w:rPr>
              <w:t>2,855.0</w:t>
            </w:r>
          </w:p>
        </w:tc>
      </w:tr>
      <w:tr w:rsidR="00B368D6" w:rsidTr="00325B17">
        <w:trPr>
          <w:trHeight w:val="431"/>
        </w:trPr>
        <w:tc>
          <w:tcPr>
            <w:tcW w:w="4248" w:type="dxa"/>
          </w:tcPr>
          <w:p w:rsidR="00E73E1A" w:rsidRPr="00E73E1A" w:rsidRDefault="00E56C9A" w:rsidP="00287756">
            <w:pPr>
              <w:rPr>
                <w:rFonts w:ascii="Arial" w:eastAsia="Arial Unicode MS" w:hAnsi="Arial" w:cs="Arial"/>
                <w:color w:val="000000"/>
                <w:sz w:val="20"/>
                <w:szCs w:val="20"/>
                <w:vertAlign w:val="superscript"/>
              </w:rPr>
            </w:pPr>
            <w:r>
              <w:rPr>
                <w:rFonts w:ascii="Arial" w:eastAsia="Arial Unicode MS" w:hAnsi="Arial" w:cs="Arial"/>
                <w:color w:val="000000"/>
                <w:sz w:val="20"/>
                <w:szCs w:val="20"/>
              </w:rPr>
              <w:t>Pooled property investments</w:t>
            </w:r>
            <w:r w:rsidRPr="00E73E1A">
              <w:rPr>
                <w:rFonts w:ascii="Arial" w:eastAsia="Arial Unicode MS" w:hAnsi="Arial" w:cs="Arial"/>
                <w:color w:val="000000"/>
                <w:sz w:val="20"/>
                <w:szCs w:val="20"/>
                <w:vertAlign w:val="superscript"/>
              </w:rPr>
              <w:t>2</w:t>
            </w:r>
          </w:p>
        </w:tc>
        <w:tc>
          <w:tcPr>
            <w:tcW w:w="2154" w:type="dxa"/>
            <w:shd w:val="clear" w:color="auto" w:fill="auto"/>
          </w:tcPr>
          <w:p w:rsidR="00E73E1A" w:rsidRPr="00287756" w:rsidRDefault="00E56C9A" w:rsidP="00105290">
            <w:pPr>
              <w:jc w:val="right"/>
              <w:rPr>
                <w:rFonts w:ascii="Arial" w:eastAsia="Arial Unicode MS" w:hAnsi="Arial" w:cs="Arial"/>
                <w:color w:val="000000"/>
                <w:sz w:val="20"/>
                <w:szCs w:val="20"/>
              </w:rPr>
            </w:pPr>
            <w:r w:rsidRPr="00287756">
              <w:rPr>
                <w:rFonts w:ascii="Arial" w:eastAsia="Arial Unicode MS" w:hAnsi="Arial" w:cs="Arial"/>
                <w:color w:val="000000"/>
                <w:sz w:val="20"/>
                <w:szCs w:val="20"/>
              </w:rPr>
              <w:t>43.0</w:t>
            </w:r>
          </w:p>
        </w:tc>
        <w:tc>
          <w:tcPr>
            <w:tcW w:w="2155" w:type="dxa"/>
            <w:shd w:val="clear" w:color="auto" w:fill="auto"/>
          </w:tcPr>
          <w:p w:rsidR="00E73E1A" w:rsidRPr="00325B17" w:rsidRDefault="00E56C9A" w:rsidP="00105290">
            <w:pPr>
              <w:jc w:val="right"/>
              <w:rPr>
                <w:rFonts w:ascii="Arial" w:eastAsia="Arial Unicode MS" w:hAnsi="Arial" w:cs="Arial"/>
                <w:color w:val="000000"/>
                <w:sz w:val="20"/>
                <w:szCs w:val="20"/>
              </w:rPr>
            </w:pPr>
            <w:r w:rsidRPr="00325B17">
              <w:rPr>
                <w:rFonts w:ascii="Arial" w:eastAsia="Arial Unicode MS" w:hAnsi="Arial" w:cs="Arial"/>
                <w:color w:val="000000"/>
                <w:sz w:val="20"/>
                <w:szCs w:val="20"/>
              </w:rPr>
              <w:t>31.9</w:t>
            </w:r>
          </w:p>
        </w:tc>
        <w:tc>
          <w:tcPr>
            <w:tcW w:w="2154" w:type="dxa"/>
            <w:shd w:val="clear" w:color="auto" w:fill="auto"/>
          </w:tcPr>
          <w:p w:rsidR="00E73E1A" w:rsidRPr="00325B17" w:rsidRDefault="00E56C9A" w:rsidP="00105290">
            <w:pPr>
              <w:jc w:val="right"/>
              <w:rPr>
                <w:rFonts w:ascii="Arial" w:eastAsia="Arial Unicode MS" w:hAnsi="Arial" w:cs="Arial"/>
                <w:color w:val="000000"/>
                <w:sz w:val="20"/>
                <w:szCs w:val="20"/>
              </w:rPr>
            </w:pPr>
            <w:r>
              <w:rPr>
                <w:rFonts w:ascii="Arial" w:eastAsia="Arial Unicode MS" w:hAnsi="Arial" w:cs="Arial"/>
                <w:color w:val="000000"/>
                <w:sz w:val="20"/>
                <w:szCs w:val="20"/>
              </w:rPr>
              <w:t>-</w:t>
            </w:r>
          </w:p>
        </w:tc>
        <w:tc>
          <w:tcPr>
            <w:tcW w:w="2155" w:type="dxa"/>
            <w:shd w:val="clear" w:color="auto" w:fill="auto"/>
          </w:tcPr>
          <w:p w:rsidR="00E73E1A" w:rsidRPr="00287756" w:rsidRDefault="00E56C9A" w:rsidP="00105290">
            <w:pPr>
              <w:jc w:val="right"/>
              <w:rPr>
                <w:rFonts w:ascii="Arial" w:eastAsia="Arial Unicode MS" w:hAnsi="Arial" w:cs="Arial"/>
                <w:color w:val="000000"/>
                <w:sz w:val="20"/>
                <w:szCs w:val="20"/>
              </w:rPr>
            </w:pPr>
            <w:r w:rsidRPr="00287756">
              <w:rPr>
                <w:rFonts w:ascii="Arial" w:eastAsia="Arial Unicode MS" w:hAnsi="Arial" w:cs="Arial"/>
                <w:color w:val="000000"/>
                <w:sz w:val="20"/>
                <w:szCs w:val="20"/>
              </w:rPr>
              <w:t>5.7</w:t>
            </w:r>
          </w:p>
        </w:tc>
        <w:tc>
          <w:tcPr>
            <w:tcW w:w="2155" w:type="dxa"/>
          </w:tcPr>
          <w:p w:rsidR="00E73E1A" w:rsidRPr="00076CE1" w:rsidRDefault="00E56C9A" w:rsidP="00105290">
            <w:pPr>
              <w:jc w:val="right"/>
              <w:rPr>
                <w:rFonts w:ascii="Arial" w:eastAsia="Arial Unicode MS" w:hAnsi="Arial" w:cs="Arial"/>
                <w:color w:val="000000"/>
                <w:sz w:val="20"/>
                <w:szCs w:val="20"/>
              </w:rPr>
            </w:pPr>
            <w:r>
              <w:rPr>
                <w:rFonts w:ascii="Arial" w:eastAsia="Arial Unicode MS" w:hAnsi="Arial" w:cs="Arial"/>
                <w:color w:val="000000"/>
                <w:sz w:val="20"/>
                <w:szCs w:val="20"/>
              </w:rPr>
              <w:t>80.6</w:t>
            </w:r>
          </w:p>
        </w:tc>
      </w:tr>
      <w:tr w:rsidR="00B368D6" w:rsidTr="00105290">
        <w:trPr>
          <w:trHeight w:val="431"/>
        </w:trPr>
        <w:tc>
          <w:tcPr>
            <w:tcW w:w="4248" w:type="dxa"/>
          </w:tcPr>
          <w:p w:rsidR="00DC78E9" w:rsidRPr="00076CE1" w:rsidRDefault="00E56C9A" w:rsidP="00105290">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Direct property</w:t>
            </w:r>
          </w:p>
        </w:tc>
        <w:tc>
          <w:tcPr>
            <w:tcW w:w="2154"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531.4</w:t>
            </w:r>
          </w:p>
        </w:tc>
        <w:tc>
          <w:tcPr>
            <w:tcW w:w="2155"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84.4</w:t>
            </w:r>
          </w:p>
        </w:tc>
        <w:tc>
          <w:tcPr>
            <w:tcW w:w="2154"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(52.6)</w:t>
            </w:r>
          </w:p>
        </w:tc>
        <w:tc>
          <w:tcPr>
            <w:tcW w:w="2155"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44.9</w:t>
            </w:r>
          </w:p>
        </w:tc>
        <w:tc>
          <w:tcPr>
            <w:tcW w:w="2155"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608.1</w:t>
            </w:r>
          </w:p>
        </w:tc>
      </w:tr>
      <w:tr w:rsidR="00B368D6" w:rsidTr="00105290">
        <w:trPr>
          <w:trHeight w:val="431"/>
        </w:trPr>
        <w:tc>
          <w:tcPr>
            <w:tcW w:w="4248" w:type="dxa"/>
          </w:tcPr>
          <w:p w:rsidR="002A448F" w:rsidRPr="00076CE1" w:rsidRDefault="00E56C9A" w:rsidP="00105290">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Derivative Contracts:</w:t>
            </w:r>
          </w:p>
          <w:p w:rsidR="00DC78E9" w:rsidRPr="00076CE1" w:rsidRDefault="00E56C9A" w:rsidP="00105290">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Forward currency contracts asset value</w:t>
            </w:r>
          </w:p>
        </w:tc>
        <w:tc>
          <w:tcPr>
            <w:tcW w:w="2154" w:type="dxa"/>
          </w:tcPr>
          <w:p w:rsidR="002A448F" w:rsidRPr="00076CE1" w:rsidRDefault="00E56C9A" w:rsidP="00105290">
            <w:pPr>
              <w:jc w:val="right"/>
              <w:rPr>
                <w:rFonts w:ascii="Arial" w:eastAsia="Arial Unicode MS" w:hAnsi="Arial" w:cs="Arial"/>
                <w:color w:val="000000"/>
                <w:sz w:val="20"/>
                <w:szCs w:val="20"/>
              </w:rPr>
            </w:pPr>
          </w:p>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632.4</w:t>
            </w:r>
          </w:p>
        </w:tc>
        <w:tc>
          <w:tcPr>
            <w:tcW w:w="2155" w:type="dxa"/>
          </w:tcPr>
          <w:p w:rsidR="00DC78E9" w:rsidRPr="00076CE1" w:rsidRDefault="00E56C9A" w:rsidP="00105290">
            <w:pPr>
              <w:jc w:val="right"/>
              <w:rPr>
                <w:rFonts w:ascii="Arial" w:eastAsia="Arial Unicode MS" w:hAnsi="Arial" w:cs="Arial"/>
                <w:color w:val="000000"/>
                <w:sz w:val="20"/>
                <w:szCs w:val="20"/>
              </w:rPr>
            </w:pPr>
          </w:p>
        </w:tc>
        <w:tc>
          <w:tcPr>
            <w:tcW w:w="2154" w:type="dxa"/>
          </w:tcPr>
          <w:p w:rsidR="00DC78E9" w:rsidRPr="00076CE1" w:rsidRDefault="00E56C9A" w:rsidP="00105290">
            <w:pPr>
              <w:jc w:val="right"/>
              <w:rPr>
                <w:rFonts w:ascii="Arial" w:eastAsia="Arial Unicode MS" w:hAnsi="Arial" w:cs="Arial"/>
                <w:color w:val="000000"/>
                <w:sz w:val="20"/>
                <w:szCs w:val="20"/>
              </w:rPr>
            </w:pPr>
          </w:p>
        </w:tc>
        <w:tc>
          <w:tcPr>
            <w:tcW w:w="2155" w:type="dxa"/>
          </w:tcPr>
          <w:p w:rsidR="00DC78E9" w:rsidRPr="00076CE1" w:rsidRDefault="00E56C9A" w:rsidP="00105290">
            <w:pPr>
              <w:jc w:val="right"/>
              <w:rPr>
                <w:rFonts w:ascii="Arial" w:eastAsia="Arial Unicode MS" w:hAnsi="Arial" w:cs="Arial"/>
                <w:color w:val="000000"/>
                <w:sz w:val="20"/>
                <w:szCs w:val="20"/>
              </w:rPr>
            </w:pPr>
          </w:p>
        </w:tc>
        <w:tc>
          <w:tcPr>
            <w:tcW w:w="2155" w:type="dxa"/>
          </w:tcPr>
          <w:p w:rsidR="002B0234" w:rsidRPr="00076CE1" w:rsidRDefault="00E56C9A" w:rsidP="00105290">
            <w:pPr>
              <w:jc w:val="right"/>
              <w:rPr>
                <w:rFonts w:ascii="Arial" w:eastAsia="Arial Unicode MS" w:hAnsi="Arial" w:cs="Arial"/>
                <w:color w:val="000000"/>
                <w:sz w:val="20"/>
                <w:szCs w:val="20"/>
              </w:rPr>
            </w:pPr>
          </w:p>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294.5</w:t>
            </w:r>
          </w:p>
        </w:tc>
      </w:tr>
      <w:tr w:rsidR="00B368D6" w:rsidTr="00105290">
        <w:trPr>
          <w:trHeight w:val="431"/>
        </w:trPr>
        <w:tc>
          <w:tcPr>
            <w:tcW w:w="4248" w:type="dxa"/>
          </w:tcPr>
          <w:p w:rsidR="00DC78E9" w:rsidRPr="00076CE1" w:rsidRDefault="00E56C9A" w:rsidP="00105290">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Cash deposits</w:t>
            </w:r>
          </w:p>
        </w:tc>
        <w:tc>
          <w:tcPr>
            <w:tcW w:w="2154"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60.0</w:t>
            </w:r>
          </w:p>
        </w:tc>
        <w:tc>
          <w:tcPr>
            <w:tcW w:w="2155" w:type="dxa"/>
          </w:tcPr>
          <w:p w:rsidR="00DC78E9" w:rsidRPr="00076CE1" w:rsidRDefault="00E56C9A" w:rsidP="00105290">
            <w:pPr>
              <w:jc w:val="right"/>
              <w:rPr>
                <w:rFonts w:ascii="Arial" w:eastAsia="Arial Unicode MS" w:hAnsi="Arial" w:cs="Arial"/>
                <w:color w:val="000000"/>
                <w:sz w:val="20"/>
                <w:szCs w:val="20"/>
              </w:rPr>
            </w:pPr>
          </w:p>
        </w:tc>
        <w:tc>
          <w:tcPr>
            <w:tcW w:w="2154" w:type="dxa"/>
          </w:tcPr>
          <w:p w:rsidR="00DC78E9" w:rsidRPr="00076CE1" w:rsidRDefault="00E56C9A" w:rsidP="00105290">
            <w:pPr>
              <w:jc w:val="right"/>
              <w:rPr>
                <w:rFonts w:ascii="Arial" w:eastAsia="Arial Unicode MS" w:hAnsi="Arial" w:cs="Arial"/>
                <w:color w:val="000000"/>
                <w:sz w:val="20"/>
                <w:szCs w:val="20"/>
              </w:rPr>
            </w:pPr>
          </w:p>
        </w:tc>
        <w:tc>
          <w:tcPr>
            <w:tcW w:w="2155" w:type="dxa"/>
          </w:tcPr>
          <w:p w:rsidR="00DC78E9" w:rsidRPr="00076CE1" w:rsidRDefault="00E56C9A" w:rsidP="00105290">
            <w:pPr>
              <w:jc w:val="right"/>
              <w:rPr>
                <w:rFonts w:ascii="Arial" w:eastAsia="Arial Unicode MS" w:hAnsi="Arial" w:cs="Arial"/>
                <w:color w:val="000000"/>
                <w:sz w:val="20"/>
                <w:szCs w:val="20"/>
              </w:rPr>
            </w:pPr>
          </w:p>
        </w:tc>
        <w:tc>
          <w:tcPr>
            <w:tcW w:w="2155"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210.3</w:t>
            </w:r>
          </w:p>
        </w:tc>
      </w:tr>
      <w:tr w:rsidR="00B368D6" w:rsidTr="00105290">
        <w:trPr>
          <w:trHeight w:val="431"/>
        </w:trPr>
        <w:tc>
          <w:tcPr>
            <w:tcW w:w="4248" w:type="dxa"/>
          </w:tcPr>
          <w:p w:rsidR="00DC78E9" w:rsidRPr="00076CE1" w:rsidRDefault="00E56C9A" w:rsidP="00105290">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Investment accruals</w:t>
            </w:r>
          </w:p>
        </w:tc>
        <w:tc>
          <w:tcPr>
            <w:tcW w:w="2154"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11.7</w:t>
            </w:r>
          </w:p>
        </w:tc>
        <w:tc>
          <w:tcPr>
            <w:tcW w:w="2155" w:type="dxa"/>
          </w:tcPr>
          <w:p w:rsidR="00DC78E9" w:rsidRPr="00076CE1" w:rsidRDefault="00E56C9A" w:rsidP="00105290">
            <w:pPr>
              <w:jc w:val="right"/>
              <w:rPr>
                <w:rFonts w:ascii="Arial" w:eastAsia="Arial Unicode MS" w:hAnsi="Arial" w:cs="Arial"/>
                <w:color w:val="000000"/>
                <w:sz w:val="20"/>
                <w:szCs w:val="20"/>
              </w:rPr>
            </w:pPr>
          </w:p>
        </w:tc>
        <w:tc>
          <w:tcPr>
            <w:tcW w:w="2154" w:type="dxa"/>
          </w:tcPr>
          <w:p w:rsidR="00DC78E9" w:rsidRPr="00076CE1" w:rsidRDefault="00E56C9A" w:rsidP="00105290">
            <w:pPr>
              <w:jc w:val="right"/>
              <w:rPr>
                <w:rFonts w:ascii="Arial" w:eastAsia="Arial Unicode MS" w:hAnsi="Arial" w:cs="Arial"/>
                <w:color w:val="000000"/>
                <w:sz w:val="20"/>
                <w:szCs w:val="20"/>
              </w:rPr>
            </w:pPr>
          </w:p>
        </w:tc>
        <w:tc>
          <w:tcPr>
            <w:tcW w:w="2155" w:type="dxa"/>
          </w:tcPr>
          <w:p w:rsidR="00DC78E9" w:rsidRPr="00076CE1" w:rsidRDefault="00E56C9A" w:rsidP="00105290">
            <w:pPr>
              <w:jc w:val="right"/>
              <w:rPr>
                <w:rFonts w:ascii="Arial" w:eastAsia="Arial Unicode MS" w:hAnsi="Arial" w:cs="Arial"/>
                <w:color w:val="000000"/>
                <w:sz w:val="20"/>
                <w:szCs w:val="20"/>
              </w:rPr>
            </w:pPr>
          </w:p>
        </w:tc>
        <w:tc>
          <w:tcPr>
            <w:tcW w:w="2155" w:type="dxa"/>
          </w:tcPr>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13.1</w:t>
            </w:r>
          </w:p>
        </w:tc>
      </w:tr>
      <w:tr w:rsidR="00B368D6" w:rsidTr="00105290">
        <w:trPr>
          <w:trHeight w:val="431"/>
        </w:trPr>
        <w:tc>
          <w:tcPr>
            <w:tcW w:w="4248" w:type="dxa"/>
            <w:shd w:val="clear" w:color="auto" w:fill="E7E6E6" w:themeFill="background2"/>
          </w:tcPr>
          <w:p w:rsidR="00DC78E9" w:rsidRPr="00076CE1" w:rsidRDefault="00E56C9A" w:rsidP="00105290">
            <w:pPr>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Total investment assets</w:t>
            </w:r>
          </w:p>
        </w:tc>
        <w:tc>
          <w:tcPr>
            <w:tcW w:w="2154" w:type="dxa"/>
            <w:shd w:val="clear" w:color="auto" w:fill="E7E6E6" w:themeFill="background2"/>
          </w:tcPr>
          <w:p w:rsidR="00DC78E9" w:rsidRPr="00076CE1" w:rsidRDefault="00E56C9A" w:rsidP="00105290">
            <w:pPr>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6,443.1</w:t>
            </w:r>
          </w:p>
        </w:tc>
        <w:tc>
          <w:tcPr>
            <w:tcW w:w="2155" w:type="dxa"/>
            <w:shd w:val="clear" w:color="auto" w:fill="E7E6E6" w:themeFill="background2"/>
          </w:tcPr>
          <w:p w:rsidR="00DC78E9" w:rsidRPr="00076CE1" w:rsidRDefault="00E56C9A" w:rsidP="00105290">
            <w:pPr>
              <w:jc w:val="right"/>
              <w:rPr>
                <w:rFonts w:ascii="Arial" w:eastAsia="Arial Unicode MS" w:hAnsi="Arial" w:cs="Arial"/>
                <w:b/>
                <w:color w:val="000000"/>
                <w:sz w:val="20"/>
                <w:szCs w:val="20"/>
              </w:rPr>
            </w:pPr>
          </w:p>
        </w:tc>
        <w:tc>
          <w:tcPr>
            <w:tcW w:w="2154" w:type="dxa"/>
            <w:shd w:val="clear" w:color="auto" w:fill="E7E6E6" w:themeFill="background2"/>
          </w:tcPr>
          <w:p w:rsidR="00DC78E9" w:rsidRPr="00076CE1" w:rsidRDefault="00E56C9A" w:rsidP="00105290">
            <w:pPr>
              <w:jc w:val="right"/>
              <w:rPr>
                <w:rFonts w:ascii="Arial" w:eastAsia="Arial Unicode MS" w:hAnsi="Arial" w:cs="Arial"/>
                <w:b/>
                <w:color w:val="000000"/>
                <w:sz w:val="20"/>
                <w:szCs w:val="20"/>
              </w:rPr>
            </w:pPr>
          </w:p>
        </w:tc>
        <w:tc>
          <w:tcPr>
            <w:tcW w:w="2155" w:type="dxa"/>
            <w:shd w:val="clear" w:color="auto" w:fill="E7E6E6" w:themeFill="background2"/>
          </w:tcPr>
          <w:p w:rsidR="00DC78E9" w:rsidRPr="00076CE1" w:rsidRDefault="00E56C9A" w:rsidP="00105290">
            <w:pPr>
              <w:jc w:val="right"/>
              <w:rPr>
                <w:rFonts w:ascii="Arial" w:eastAsia="Arial Unicode MS" w:hAnsi="Arial" w:cs="Arial"/>
                <w:b/>
                <w:color w:val="000000"/>
                <w:sz w:val="20"/>
                <w:szCs w:val="20"/>
              </w:rPr>
            </w:pPr>
          </w:p>
        </w:tc>
        <w:tc>
          <w:tcPr>
            <w:tcW w:w="2155" w:type="dxa"/>
            <w:shd w:val="clear" w:color="auto" w:fill="E7E6E6" w:themeFill="background2"/>
          </w:tcPr>
          <w:p w:rsidR="00DC78E9" w:rsidRPr="00076CE1" w:rsidRDefault="00E56C9A" w:rsidP="00105290">
            <w:pPr>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6,318.3</w:t>
            </w:r>
          </w:p>
        </w:tc>
      </w:tr>
      <w:tr w:rsidR="00B368D6" w:rsidTr="00105290">
        <w:trPr>
          <w:trHeight w:val="431"/>
        </w:trPr>
        <w:tc>
          <w:tcPr>
            <w:tcW w:w="4248" w:type="dxa"/>
          </w:tcPr>
          <w:p w:rsidR="002A448F" w:rsidRPr="00076CE1" w:rsidRDefault="00E56C9A" w:rsidP="00105290">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Derivative contracts:</w:t>
            </w:r>
          </w:p>
          <w:p w:rsidR="00DC78E9" w:rsidRPr="00076CE1" w:rsidRDefault="00E56C9A" w:rsidP="00105290">
            <w:pPr>
              <w:jc w:val="both"/>
              <w:rPr>
                <w:rFonts w:ascii="Arial" w:eastAsia="Arial Unicode MS" w:hAnsi="Arial" w:cs="Arial"/>
                <w:color w:val="000000"/>
                <w:sz w:val="20"/>
                <w:szCs w:val="20"/>
              </w:rPr>
            </w:pPr>
            <w:r w:rsidRPr="00076CE1">
              <w:rPr>
                <w:rFonts w:ascii="Arial" w:eastAsia="Arial Unicode MS" w:hAnsi="Arial" w:cs="Arial"/>
                <w:color w:val="000000"/>
                <w:sz w:val="20"/>
                <w:szCs w:val="20"/>
              </w:rPr>
              <w:t>Forward currency contracts liability value</w:t>
            </w:r>
          </w:p>
        </w:tc>
        <w:tc>
          <w:tcPr>
            <w:tcW w:w="2154" w:type="dxa"/>
          </w:tcPr>
          <w:p w:rsidR="002A448F" w:rsidRPr="00076CE1" w:rsidRDefault="00E56C9A" w:rsidP="00105290">
            <w:pPr>
              <w:jc w:val="right"/>
              <w:rPr>
                <w:rFonts w:ascii="Arial" w:eastAsia="Arial Unicode MS" w:hAnsi="Arial" w:cs="Arial"/>
                <w:color w:val="000000"/>
                <w:sz w:val="20"/>
                <w:szCs w:val="20"/>
              </w:rPr>
            </w:pPr>
          </w:p>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(629.6)</w:t>
            </w:r>
          </w:p>
        </w:tc>
        <w:tc>
          <w:tcPr>
            <w:tcW w:w="2155" w:type="dxa"/>
          </w:tcPr>
          <w:p w:rsidR="00DC78E9" w:rsidRPr="00076CE1" w:rsidRDefault="00E56C9A" w:rsidP="00105290">
            <w:pPr>
              <w:jc w:val="right"/>
              <w:rPr>
                <w:rFonts w:ascii="Arial" w:eastAsia="Arial Unicode MS" w:hAnsi="Arial" w:cs="Arial"/>
                <w:color w:val="000000"/>
                <w:sz w:val="20"/>
                <w:szCs w:val="20"/>
              </w:rPr>
            </w:pPr>
          </w:p>
        </w:tc>
        <w:tc>
          <w:tcPr>
            <w:tcW w:w="2154" w:type="dxa"/>
          </w:tcPr>
          <w:p w:rsidR="00DC78E9" w:rsidRPr="00076CE1" w:rsidRDefault="00E56C9A" w:rsidP="00105290">
            <w:pPr>
              <w:jc w:val="right"/>
              <w:rPr>
                <w:rFonts w:ascii="Arial" w:eastAsia="Arial Unicode MS" w:hAnsi="Arial" w:cs="Arial"/>
                <w:color w:val="000000"/>
                <w:sz w:val="20"/>
                <w:szCs w:val="20"/>
              </w:rPr>
            </w:pPr>
          </w:p>
        </w:tc>
        <w:tc>
          <w:tcPr>
            <w:tcW w:w="2155" w:type="dxa"/>
          </w:tcPr>
          <w:p w:rsidR="00DC78E9" w:rsidRPr="00076CE1" w:rsidRDefault="00E56C9A" w:rsidP="00105290">
            <w:pPr>
              <w:jc w:val="right"/>
              <w:rPr>
                <w:rFonts w:ascii="Arial" w:eastAsia="Arial Unicode MS" w:hAnsi="Arial" w:cs="Arial"/>
                <w:color w:val="000000"/>
                <w:sz w:val="20"/>
                <w:szCs w:val="20"/>
              </w:rPr>
            </w:pPr>
          </w:p>
        </w:tc>
        <w:tc>
          <w:tcPr>
            <w:tcW w:w="2155" w:type="dxa"/>
          </w:tcPr>
          <w:p w:rsidR="00287756" w:rsidRDefault="00E56C9A" w:rsidP="00105290">
            <w:pPr>
              <w:jc w:val="right"/>
              <w:rPr>
                <w:rFonts w:ascii="Arial" w:eastAsia="Arial Unicode MS" w:hAnsi="Arial" w:cs="Arial"/>
                <w:color w:val="000000"/>
                <w:sz w:val="20"/>
                <w:szCs w:val="20"/>
              </w:rPr>
            </w:pPr>
          </w:p>
          <w:p w:rsidR="00DC78E9" w:rsidRPr="00076CE1" w:rsidRDefault="00E56C9A" w:rsidP="00105290">
            <w:pPr>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(291.0)</w:t>
            </w:r>
          </w:p>
        </w:tc>
      </w:tr>
      <w:tr w:rsidR="00B368D6" w:rsidTr="00105290">
        <w:trPr>
          <w:trHeight w:val="431"/>
        </w:trPr>
        <w:tc>
          <w:tcPr>
            <w:tcW w:w="4248" w:type="dxa"/>
            <w:shd w:val="clear" w:color="auto" w:fill="E7E6E6" w:themeFill="background2"/>
          </w:tcPr>
          <w:p w:rsidR="00DC78E9" w:rsidRPr="00076CE1" w:rsidRDefault="00E56C9A" w:rsidP="00105290">
            <w:pPr>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Net investment assets</w:t>
            </w:r>
          </w:p>
        </w:tc>
        <w:tc>
          <w:tcPr>
            <w:tcW w:w="2154" w:type="dxa"/>
            <w:shd w:val="clear" w:color="auto" w:fill="E7E6E6" w:themeFill="background2"/>
          </w:tcPr>
          <w:p w:rsidR="00DC78E9" w:rsidRPr="00076CE1" w:rsidRDefault="00E56C9A" w:rsidP="00105290">
            <w:pPr>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5,813.5</w:t>
            </w:r>
          </w:p>
        </w:tc>
        <w:tc>
          <w:tcPr>
            <w:tcW w:w="2155" w:type="dxa"/>
            <w:shd w:val="clear" w:color="auto" w:fill="E7E6E6" w:themeFill="background2"/>
          </w:tcPr>
          <w:p w:rsidR="00DC78E9" w:rsidRPr="00076CE1" w:rsidRDefault="00E56C9A" w:rsidP="00105290">
            <w:pPr>
              <w:jc w:val="right"/>
              <w:rPr>
                <w:rFonts w:ascii="Arial" w:eastAsia="Arial Unicode MS" w:hAnsi="Arial" w:cs="Arial"/>
                <w:b/>
                <w:color w:val="000000"/>
                <w:sz w:val="20"/>
                <w:szCs w:val="20"/>
              </w:rPr>
            </w:pPr>
          </w:p>
        </w:tc>
        <w:tc>
          <w:tcPr>
            <w:tcW w:w="2154" w:type="dxa"/>
            <w:shd w:val="clear" w:color="auto" w:fill="E7E6E6" w:themeFill="background2"/>
          </w:tcPr>
          <w:p w:rsidR="00DC78E9" w:rsidRPr="00076CE1" w:rsidRDefault="00E56C9A" w:rsidP="00105290">
            <w:pPr>
              <w:jc w:val="right"/>
              <w:rPr>
                <w:rFonts w:ascii="Arial" w:eastAsia="Arial Unicode MS" w:hAnsi="Arial" w:cs="Arial"/>
                <w:b/>
                <w:color w:val="000000"/>
                <w:sz w:val="20"/>
                <w:szCs w:val="20"/>
              </w:rPr>
            </w:pPr>
          </w:p>
        </w:tc>
        <w:tc>
          <w:tcPr>
            <w:tcW w:w="2155" w:type="dxa"/>
            <w:shd w:val="clear" w:color="auto" w:fill="E7E6E6" w:themeFill="background2"/>
          </w:tcPr>
          <w:p w:rsidR="00DC78E9" w:rsidRPr="00076CE1" w:rsidRDefault="00E56C9A" w:rsidP="00105290">
            <w:pPr>
              <w:jc w:val="right"/>
              <w:rPr>
                <w:rFonts w:ascii="Arial" w:eastAsia="Arial Unicode MS" w:hAnsi="Arial" w:cs="Arial"/>
                <w:b/>
                <w:color w:val="000000"/>
                <w:sz w:val="20"/>
                <w:szCs w:val="20"/>
              </w:rPr>
            </w:pPr>
            <w:r>
              <w:rPr>
                <w:rFonts w:ascii="Arial" w:eastAsia="Arial Unicode MS" w:hAnsi="Arial" w:cs="Arial"/>
                <w:b/>
                <w:color w:val="000000"/>
                <w:sz w:val="20"/>
                <w:szCs w:val="20"/>
              </w:rPr>
              <w:t>165.9</w:t>
            </w:r>
          </w:p>
        </w:tc>
        <w:tc>
          <w:tcPr>
            <w:tcW w:w="2155" w:type="dxa"/>
            <w:shd w:val="clear" w:color="auto" w:fill="E7E6E6" w:themeFill="background2"/>
          </w:tcPr>
          <w:p w:rsidR="00DC78E9" w:rsidRPr="00076CE1" w:rsidRDefault="00E56C9A" w:rsidP="00105290">
            <w:pPr>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6,027.3</w:t>
            </w:r>
          </w:p>
        </w:tc>
      </w:tr>
    </w:tbl>
    <w:p w:rsidR="00DC78E9" w:rsidRPr="00076CE1" w:rsidRDefault="00E56C9A" w:rsidP="00DC78E9">
      <w:pPr>
        <w:autoSpaceDE w:val="0"/>
        <w:autoSpaceDN w:val="0"/>
        <w:adjustRightInd w:val="0"/>
        <w:jc w:val="both"/>
        <w:rPr>
          <w:rFonts w:ascii="Arial" w:eastAsia="Arial Unicode MS" w:hAnsi="Arial" w:cs="Arial"/>
          <w:color w:val="000000"/>
          <w:sz w:val="22"/>
          <w:szCs w:val="22"/>
        </w:rPr>
      </w:pPr>
    </w:p>
    <w:p w:rsidR="00E73E1A" w:rsidRPr="00CA71CB" w:rsidRDefault="00E56C9A" w:rsidP="00E73E1A">
      <w:pPr>
        <w:autoSpaceDE w:val="0"/>
        <w:autoSpaceDN w:val="0"/>
        <w:adjustRightInd w:val="0"/>
        <w:contextualSpacing/>
        <w:jc w:val="both"/>
        <w:rPr>
          <w:rFonts w:ascii="Arial" w:eastAsia="Arial Unicode MS" w:hAnsi="Arial" w:cs="Arial"/>
          <w:color w:val="000000"/>
          <w:sz w:val="18"/>
          <w:szCs w:val="18"/>
        </w:rPr>
      </w:pPr>
      <w:r w:rsidRPr="00CA71CB">
        <w:rPr>
          <w:rFonts w:ascii="Arial" w:eastAsia="Arial Unicode MS" w:hAnsi="Arial" w:cs="Arial"/>
          <w:color w:val="000000"/>
          <w:sz w:val="18"/>
          <w:szCs w:val="18"/>
          <w:vertAlign w:val="superscript"/>
        </w:rPr>
        <w:t>1</w:t>
      </w:r>
      <w:r w:rsidRPr="00CA71CB">
        <w:rPr>
          <w:rFonts w:ascii="Arial" w:eastAsia="Arial Unicode MS" w:hAnsi="Arial" w:cs="Arial"/>
          <w:color w:val="000000"/>
          <w:sz w:val="18"/>
          <w:szCs w:val="18"/>
        </w:rPr>
        <w:t xml:space="preserve">All direct equity holdings were transitioned into the Local Pensions </w:t>
      </w:r>
      <w:r w:rsidRPr="00CA71CB">
        <w:rPr>
          <w:rFonts w:ascii="Arial" w:eastAsia="Arial Unicode MS" w:hAnsi="Arial" w:cs="Arial"/>
          <w:color w:val="000000"/>
          <w:sz w:val="18"/>
          <w:szCs w:val="18"/>
        </w:rPr>
        <w:t>Partnership Global Equities Pool with effect from 1 November 2016.</w:t>
      </w:r>
    </w:p>
    <w:p w:rsidR="00E73E1A" w:rsidRPr="00CA71CB" w:rsidRDefault="00E56C9A" w:rsidP="00E73E1A">
      <w:pPr>
        <w:autoSpaceDE w:val="0"/>
        <w:autoSpaceDN w:val="0"/>
        <w:adjustRightInd w:val="0"/>
        <w:contextualSpacing/>
        <w:jc w:val="both"/>
        <w:rPr>
          <w:rFonts w:ascii="Arial" w:eastAsia="Arial Unicode MS" w:hAnsi="Arial" w:cs="Arial"/>
          <w:color w:val="000000"/>
          <w:sz w:val="18"/>
          <w:szCs w:val="18"/>
        </w:rPr>
      </w:pPr>
    </w:p>
    <w:p w:rsidR="00E73E1A" w:rsidRPr="00CA71CB" w:rsidRDefault="00E56C9A" w:rsidP="00E73E1A">
      <w:pPr>
        <w:autoSpaceDE w:val="0"/>
        <w:autoSpaceDN w:val="0"/>
        <w:adjustRightInd w:val="0"/>
        <w:contextualSpacing/>
        <w:jc w:val="both"/>
        <w:rPr>
          <w:rFonts w:ascii="Arial" w:eastAsia="Arial Unicode MS" w:hAnsi="Arial" w:cs="Arial"/>
          <w:color w:val="000000"/>
          <w:sz w:val="18"/>
          <w:szCs w:val="18"/>
        </w:rPr>
      </w:pPr>
      <w:r w:rsidRPr="00CA71CB">
        <w:rPr>
          <w:rFonts w:ascii="Arial" w:eastAsia="Arial Unicode MS" w:hAnsi="Arial" w:cs="Arial"/>
          <w:color w:val="000000"/>
          <w:sz w:val="18"/>
          <w:szCs w:val="18"/>
          <w:vertAlign w:val="superscript"/>
        </w:rPr>
        <w:t>2</w:t>
      </w:r>
      <w:r w:rsidRPr="00CA71CB">
        <w:rPr>
          <w:rFonts w:ascii="Arial" w:eastAsia="Arial Unicode MS" w:hAnsi="Arial" w:cs="Arial"/>
          <w:color w:val="000000"/>
          <w:sz w:val="18"/>
          <w:szCs w:val="18"/>
        </w:rPr>
        <w:t>The value of pooled property investments was previously included within total pooled investment vehicles.</w:t>
      </w:r>
    </w:p>
    <w:p w:rsidR="00DC78E9" w:rsidRPr="00076CE1" w:rsidRDefault="00E56C9A" w:rsidP="00DC78E9">
      <w:pPr>
        <w:autoSpaceDE w:val="0"/>
        <w:autoSpaceDN w:val="0"/>
        <w:adjustRightInd w:val="0"/>
        <w:jc w:val="both"/>
        <w:rPr>
          <w:rFonts w:ascii="Arial" w:eastAsia="Arial Unicode MS" w:hAnsi="Arial" w:cs="Arial"/>
          <w:color w:val="000000"/>
          <w:sz w:val="22"/>
          <w:szCs w:val="22"/>
        </w:rPr>
        <w:sectPr w:rsidR="00DC78E9" w:rsidRPr="00076CE1" w:rsidSect="00981479">
          <w:footerReference w:type="default" r:id="rId9"/>
          <w:pgSz w:w="11900" w:h="16840" w:code="9"/>
          <w:pgMar w:top="862" w:right="720" w:bottom="862" w:left="720" w:header="567" w:footer="567" w:gutter="0"/>
          <w:cols w:space="292"/>
          <w:docGrid w:linePitch="326"/>
        </w:sectPr>
      </w:pPr>
    </w:p>
    <w:p w:rsidR="00DC78E9" w:rsidRPr="00076CE1" w:rsidRDefault="00E56C9A" w:rsidP="00DC78E9">
      <w:pPr>
        <w:autoSpaceDE w:val="0"/>
        <w:autoSpaceDN w:val="0"/>
        <w:adjustRightInd w:val="0"/>
        <w:rPr>
          <w:rFonts w:ascii="Arial" w:eastAsia="Arial Unicode MS" w:hAnsi="Arial" w:cs="Arial"/>
          <w:sz w:val="44"/>
          <w:szCs w:val="18"/>
        </w:rPr>
      </w:pPr>
      <w:r w:rsidRPr="00076CE1">
        <w:rPr>
          <w:rFonts w:ascii="Arial" w:eastAsia="Arial Unicode MS" w:hAnsi="Arial" w:cs="Arial"/>
          <w:b/>
          <w:color w:val="000000"/>
          <w:sz w:val="32"/>
          <w:szCs w:val="18"/>
        </w:rPr>
        <w:lastRenderedPageBreak/>
        <w:t>Investments analysed by fund manager</w:t>
      </w:r>
    </w:p>
    <w:p w:rsidR="00DC78E9" w:rsidRPr="00076CE1" w:rsidRDefault="00E56C9A" w:rsidP="00DC78E9">
      <w:pPr>
        <w:rPr>
          <w:rFonts w:ascii="Arial" w:eastAsia="Arial Unicode MS" w:hAnsi="Arial" w:cs="Arial"/>
          <w:sz w:val="32"/>
          <w:szCs w:val="18"/>
        </w:rPr>
      </w:pPr>
    </w:p>
    <w:tbl>
      <w:tblPr>
        <w:tblpPr w:leftFromText="180" w:rightFromText="180" w:vertAnchor="page" w:tblpY="2296"/>
        <w:tblW w:w="7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7"/>
        <w:gridCol w:w="1349"/>
        <w:gridCol w:w="1983"/>
        <w:gridCol w:w="1345"/>
        <w:gridCol w:w="1342"/>
        <w:gridCol w:w="7"/>
      </w:tblGrid>
      <w:tr w:rsidR="00B368D6" w:rsidTr="00725FBA">
        <w:trPr>
          <w:trHeight w:val="431"/>
        </w:trPr>
        <w:tc>
          <w:tcPr>
            <w:tcW w:w="2696" w:type="dxa"/>
            <w:gridSpan w:val="2"/>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Default="00E56C9A" w:rsidP="00725FBA">
            <w:pPr>
              <w:tabs>
                <w:tab w:val="left" w:pos="2160"/>
                <w:tab w:val="left" w:pos="6885"/>
              </w:tabs>
              <w:spacing w:after="60"/>
              <w:jc w:val="center"/>
              <w:rPr>
                <w:rFonts w:ascii="Arial" w:eastAsia="Arial Unicode MS" w:hAnsi="Arial" w:cs="Arial"/>
                <w:b/>
                <w:color w:val="000000"/>
                <w:sz w:val="20"/>
                <w:szCs w:val="20"/>
              </w:rPr>
            </w:pPr>
            <w:r w:rsidRPr="00076CE1">
              <w:rPr>
                <w:rFonts w:ascii="Arial" w:eastAsia="Arial Unicode MS" w:hAnsi="Arial" w:cs="Arial"/>
                <w:b/>
                <w:sz w:val="20"/>
                <w:szCs w:val="18"/>
              </w:rPr>
              <w:t>31 March 2016</w:t>
            </w:r>
          </w:p>
        </w:tc>
        <w:tc>
          <w:tcPr>
            <w:tcW w:w="1983"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105290">
            <w:pPr>
              <w:tabs>
                <w:tab w:val="left" w:pos="1455"/>
                <w:tab w:val="left" w:pos="5040"/>
                <w:tab w:val="left" w:pos="6885"/>
              </w:tabs>
              <w:spacing w:after="120"/>
              <w:rPr>
                <w:rFonts w:ascii="Arial" w:eastAsia="Arial Unicode MS" w:hAnsi="Arial" w:cs="Arial"/>
                <w:color w:val="000000"/>
                <w:sz w:val="20"/>
                <w:szCs w:val="20"/>
              </w:rPr>
            </w:pPr>
          </w:p>
        </w:tc>
        <w:tc>
          <w:tcPr>
            <w:tcW w:w="2694" w:type="dxa"/>
            <w:gridSpan w:val="3"/>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Default="00E56C9A" w:rsidP="00725FBA">
            <w:pPr>
              <w:tabs>
                <w:tab w:val="left" w:pos="2160"/>
                <w:tab w:val="left" w:pos="6885"/>
              </w:tabs>
              <w:spacing w:after="60"/>
              <w:jc w:val="center"/>
              <w:rPr>
                <w:rFonts w:ascii="Arial" w:eastAsia="Arial Unicode MS" w:hAnsi="Arial" w:cs="Arial"/>
                <w:sz w:val="20"/>
                <w:szCs w:val="18"/>
              </w:rPr>
            </w:pPr>
            <w:r w:rsidRPr="00076CE1">
              <w:rPr>
                <w:rFonts w:ascii="Arial" w:eastAsia="Arial Unicode MS" w:hAnsi="Arial" w:cs="Arial"/>
                <w:b/>
                <w:sz w:val="20"/>
                <w:szCs w:val="18"/>
              </w:rPr>
              <w:t>31 March 2017</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Default="00E56C9A" w:rsidP="00725FBA">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sz w:val="20"/>
                <w:szCs w:val="18"/>
              </w:rPr>
              <w:t>£m</w:t>
            </w:r>
          </w:p>
        </w:tc>
        <w:tc>
          <w:tcPr>
            <w:tcW w:w="1349"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Default="00E56C9A" w:rsidP="00725FBA">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sz w:val="20"/>
                <w:szCs w:val="18"/>
              </w:rPr>
              <w:t>%</w:t>
            </w:r>
          </w:p>
        </w:tc>
        <w:tc>
          <w:tcPr>
            <w:tcW w:w="1983"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1455"/>
                <w:tab w:val="left" w:pos="5040"/>
                <w:tab w:val="left" w:pos="6885"/>
              </w:tabs>
              <w:spacing w:after="120"/>
              <w:jc w:val="right"/>
              <w:rPr>
                <w:rFonts w:ascii="Arial" w:eastAsia="Arial Unicode MS" w:hAnsi="Arial" w:cs="Arial"/>
                <w:color w:val="000000"/>
                <w:sz w:val="20"/>
                <w:szCs w:val="20"/>
              </w:rPr>
            </w:pPr>
          </w:p>
        </w:tc>
        <w:tc>
          <w:tcPr>
            <w:tcW w:w="1345"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sz w:val="20"/>
                <w:szCs w:val="18"/>
              </w:rPr>
              <w:t>£m</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sz w:val="20"/>
                <w:szCs w:val="18"/>
              </w:rPr>
              <w:t>%</w:t>
            </w:r>
          </w:p>
        </w:tc>
      </w:tr>
      <w:tr w:rsidR="00B368D6" w:rsidTr="00725FBA">
        <w:trPr>
          <w:trHeight w:val="431"/>
        </w:trPr>
        <w:tc>
          <w:tcPr>
            <w:tcW w:w="2696" w:type="dxa"/>
            <w:gridSpan w:val="2"/>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725FBA" w:rsidRDefault="00E56C9A" w:rsidP="00725FBA">
            <w:pPr>
              <w:tabs>
                <w:tab w:val="left" w:pos="2160"/>
                <w:tab w:val="left" w:pos="6885"/>
              </w:tabs>
              <w:spacing w:after="60"/>
              <w:rPr>
                <w:rFonts w:ascii="Arial" w:eastAsia="Arial Unicode MS" w:hAnsi="Arial" w:cs="Arial"/>
                <w:b/>
                <w:color w:val="000000"/>
                <w:sz w:val="20"/>
                <w:szCs w:val="20"/>
              </w:rPr>
            </w:pPr>
            <w:r>
              <w:rPr>
                <w:rFonts w:ascii="Arial" w:eastAsia="Arial Unicode MS" w:hAnsi="Arial" w:cs="Arial"/>
                <w:b/>
                <w:color w:val="000000"/>
                <w:sz w:val="20"/>
                <w:szCs w:val="20"/>
              </w:rPr>
              <w:t>Public equity</w:t>
            </w:r>
          </w:p>
        </w:tc>
        <w:tc>
          <w:tcPr>
            <w:tcW w:w="1983"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
        </w:tc>
        <w:tc>
          <w:tcPr>
            <w:tcW w:w="1345"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Default="00E56C9A" w:rsidP="00725FBA">
            <w:pPr>
              <w:tabs>
                <w:tab w:val="left" w:pos="2160"/>
                <w:tab w:val="left" w:pos="6885"/>
              </w:tabs>
              <w:spacing w:after="60"/>
              <w:jc w:val="right"/>
              <w:rPr>
                <w:rFonts w:ascii="Arial" w:eastAsia="Arial Unicode MS" w:hAnsi="Arial" w:cs="Arial"/>
                <w:sz w:val="20"/>
                <w:szCs w:val="18"/>
              </w:rPr>
            </w:pP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Default="00E56C9A" w:rsidP="00725FBA">
            <w:pPr>
              <w:tabs>
                <w:tab w:val="left" w:pos="2160"/>
                <w:tab w:val="left" w:pos="6885"/>
              </w:tabs>
              <w:spacing w:after="60"/>
              <w:jc w:val="right"/>
              <w:rPr>
                <w:rFonts w:ascii="Arial" w:eastAsia="Arial Unicode MS" w:hAnsi="Arial" w:cs="Arial"/>
                <w:sz w:val="20"/>
                <w:szCs w:val="18"/>
              </w:rPr>
            </w:pP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733.3</w:t>
            </w:r>
          </w:p>
        </w:tc>
        <w:tc>
          <w:tcPr>
            <w:tcW w:w="1349"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12.1%</w:t>
            </w:r>
          </w:p>
        </w:tc>
        <w:tc>
          <w:tcPr>
            <w:tcW w:w="1983"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1455"/>
                <w:tab w:val="left" w:pos="5040"/>
                <w:tab w:val="left" w:pos="6885"/>
              </w:tabs>
              <w:spacing w:after="120"/>
              <w:rPr>
                <w:rFonts w:ascii="Arial" w:eastAsia="Arial Unicode MS" w:hAnsi="Arial" w:cs="Arial"/>
                <w:sz w:val="20"/>
                <w:szCs w:val="18"/>
              </w:rPr>
            </w:pPr>
            <w:r w:rsidRPr="00076CE1">
              <w:rPr>
                <w:rFonts w:ascii="Arial" w:eastAsia="Arial Unicode MS" w:hAnsi="Arial" w:cs="Arial"/>
                <w:color w:val="000000"/>
                <w:sz w:val="20"/>
                <w:szCs w:val="20"/>
              </w:rPr>
              <w:t>Baillie Gifford</w:t>
            </w:r>
          </w:p>
        </w:tc>
        <w:tc>
          <w:tcPr>
            <w:tcW w:w="1345"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c>
          <w:tcPr>
            <w:tcW w:w="1349" w:type="dxa"/>
            <w:gridSpan w:val="2"/>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350.1</w:t>
            </w:r>
          </w:p>
        </w:tc>
        <w:tc>
          <w:tcPr>
            <w:tcW w:w="1349"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5.8%</w:t>
            </w:r>
          </w:p>
        </w:tc>
        <w:tc>
          <w:tcPr>
            <w:tcW w:w="1983"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1455"/>
                <w:tab w:val="left" w:pos="5040"/>
                <w:tab w:val="left" w:pos="6885"/>
              </w:tabs>
              <w:spacing w:after="120"/>
              <w:rPr>
                <w:rFonts w:ascii="Arial" w:eastAsia="Arial Unicode MS" w:hAnsi="Arial" w:cs="Arial"/>
                <w:sz w:val="20"/>
                <w:szCs w:val="18"/>
              </w:rPr>
            </w:pPr>
            <w:r w:rsidRPr="00076CE1">
              <w:rPr>
                <w:rFonts w:ascii="Arial" w:eastAsia="Arial Unicode MS" w:hAnsi="Arial" w:cs="Arial"/>
                <w:color w:val="000000"/>
                <w:sz w:val="20"/>
                <w:szCs w:val="20"/>
              </w:rPr>
              <w:t>MFS</w:t>
            </w:r>
          </w:p>
        </w:tc>
        <w:tc>
          <w:tcPr>
            <w:tcW w:w="1345"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c>
          <w:tcPr>
            <w:tcW w:w="1349" w:type="dxa"/>
            <w:gridSpan w:val="2"/>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324.6</w:t>
            </w:r>
          </w:p>
        </w:tc>
        <w:tc>
          <w:tcPr>
            <w:tcW w:w="1349"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5.4%</w:t>
            </w:r>
          </w:p>
        </w:tc>
        <w:tc>
          <w:tcPr>
            <w:tcW w:w="1983"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1455"/>
                <w:tab w:val="left" w:pos="5040"/>
                <w:tab w:val="left" w:pos="6885"/>
              </w:tabs>
              <w:spacing w:after="120"/>
              <w:rPr>
                <w:rFonts w:ascii="Arial" w:eastAsia="Arial Unicode MS" w:hAnsi="Arial" w:cs="Arial"/>
                <w:sz w:val="20"/>
                <w:szCs w:val="18"/>
              </w:rPr>
            </w:pPr>
            <w:r w:rsidRPr="00076CE1">
              <w:rPr>
                <w:rFonts w:ascii="Arial" w:eastAsia="Arial Unicode MS" w:hAnsi="Arial" w:cs="Arial"/>
                <w:color w:val="000000"/>
                <w:sz w:val="20"/>
                <w:szCs w:val="20"/>
              </w:rPr>
              <w:t>Morgan Stanley</w:t>
            </w:r>
          </w:p>
        </w:tc>
        <w:tc>
          <w:tcPr>
            <w:tcW w:w="1345"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c>
          <w:tcPr>
            <w:tcW w:w="1349" w:type="dxa"/>
            <w:gridSpan w:val="2"/>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209.7</w:t>
            </w:r>
          </w:p>
        </w:tc>
        <w:tc>
          <w:tcPr>
            <w:tcW w:w="1349"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 xml:space="preserve"> 3.5%</w:t>
            </w:r>
          </w:p>
        </w:tc>
        <w:tc>
          <w:tcPr>
            <w:tcW w:w="1983"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1455"/>
                <w:tab w:val="left" w:pos="5040"/>
                <w:tab w:val="left" w:pos="6885"/>
              </w:tabs>
              <w:spacing w:after="120"/>
              <w:rPr>
                <w:rFonts w:ascii="Arial" w:eastAsia="Arial Unicode MS" w:hAnsi="Arial" w:cs="Arial"/>
                <w:sz w:val="20"/>
                <w:szCs w:val="18"/>
              </w:rPr>
            </w:pPr>
            <w:r w:rsidRPr="00076CE1">
              <w:rPr>
                <w:rFonts w:ascii="Arial" w:eastAsia="Arial Unicode MS" w:hAnsi="Arial" w:cs="Arial"/>
                <w:color w:val="000000"/>
                <w:sz w:val="20"/>
                <w:szCs w:val="20"/>
              </w:rPr>
              <w:t>NGAM</w:t>
            </w:r>
          </w:p>
        </w:tc>
        <w:tc>
          <w:tcPr>
            <w:tcW w:w="1345"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c>
          <w:tcPr>
            <w:tcW w:w="1349" w:type="dxa"/>
            <w:gridSpan w:val="2"/>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496.0</w:t>
            </w:r>
          </w:p>
        </w:tc>
        <w:tc>
          <w:tcPr>
            <w:tcW w:w="1349"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8.2%</w:t>
            </w:r>
          </w:p>
        </w:tc>
        <w:tc>
          <w:tcPr>
            <w:tcW w:w="1983"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1455"/>
                <w:tab w:val="left" w:pos="5040"/>
                <w:tab w:val="left" w:pos="6885"/>
              </w:tabs>
              <w:spacing w:after="120"/>
              <w:rPr>
                <w:rFonts w:ascii="Arial" w:eastAsia="Arial Unicode MS" w:hAnsi="Arial" w:cs="Arial"/>
                <w:sz w:val="20"/>
                <w:szCs w:val="18"/>
              </w:rPr>
            </w:pPr>
            <w:proofErr w:type="spellStart"/>
            <w:r w:rsidRPr="00076CE1">
              <w:rPr>
                <w:rFonts w:ascii="Arial" w:eastAsia="Arial Unicode MS" w:hAnsi="Arial" w:cs="Arial"/>
                <w:color w:val="000000"/>
                <w:sz w:val="20"/>
                <w:szCs w:val="20"/>
              </w:rPr>
              <w:t>Robeco</w:t>
            </w:r>
            <w:proofErr w:type="spellEnd"/>
          </w:p>
        </w:tc>
        <w:tc>
          <w:tcPr>
            <w:tcW w:w="1345"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c>
          <w:tcPr>
            <w:tcW w:w="1349" w:type="dxa"/>
            <w:gridSpan w:val="2"/>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234.5</w:t>
            </w:r>
          </w:p>
        </w:tc>
        <w:tc>
          <w:tcPr>
            <w:tcW w:w="1349"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3.9%</w:t>
            </w:r>
          </w:p>
        </w:tc>
        <w:tc>
          <w:tcPr>
            <w:tcW w:w="1983"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1455"/>
                <w:tab w:val="left" w:pos="5040"/>
                <w:tab w:val="left" w:pos="6885"/>
              </w:tabs>
              <w:spacing w:after="120"/>
              <w:rPr>
                <w:rFonts w:ascii="Arial" w:eastAsia="Arial Unicode MS" w:hAnsi="Arial" w:cs="Arial"/>
                <w:sz w:val="20"/>
                <w:szCs w:val="18"/>
              </w:rPr>
            </w:pPr>
            <w:r w:rsidRPr="00076CE1">
              <w:rPr>
                <w:rFonts w:ascii="Arial" w:eastAsia="Arial Unicode MS" w:hAnsi="Arial" w:cs="Arial"/>
                <w:color w:val="000000"/>
                <w:sz w:val="20"/>
                <w:szCs w:val="20"/>
              </w:rPr>
              <w:t>AGF</w:t>
            </w:r>
          </w:p>
        </w:tc>
        <w:tc>
          <w:tcPr>
            <w:tcW w:w="1345"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c>
          <w:tcPr>
            <w:tcW w:w="1349" w:type="dxa"/>
            <w:gridSpan w:val="2"/>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251.2</w:t>
            </w:r>
          </w:p>
        </w:tc>
        <w:tc>
          <w:tcPr>
            <w:tcW w:w="1349"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4.2%</w:t>
            </w:r>
          </w:p>
        </w:tc>
        <w:tc>
          <w:tcPr>
            <w:tcW w:w="1983"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1455"/>
                <w:tab w:val="left" w:pos="5040"/>
                <w:tab w:val="left" w:pos="6885"/>
              </w:tabs>
              <w:spacing w:after="120"/>
              <w:rPr>
                <w:rFonts w:ascii="Arial" w:eastAsia="Arial Unicode MS" w:hAnsi="Arial" w:cs="Arial"/>
                <w:sz w:val="20"/>
                <w:szCs w:val="18"/>
              </w:rPr>
            </w:pPr>
            <w:r w:rsidRPr="00076CE1">
              <w:rPr>
                <w:rFonts w:ascii="Arial" w:eastAsia="Arial Unicode MS" w:hAnsi="Arial" w:cs="Arial"/>
                <w:color w:val="000000"/>
                <w:sz w:val="20"/>
                <w:szCs w:val="20"/>
              </w:rPr>
              <w:t>MFG (Magellan)</w:t>
            </w:r>
          </w:p>
        </w:tc>
        <w:tc>
          <w:tcPr>
            <w:tcW w:w="1345" w:type="dxa"/>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c>
          <w:tcPr>
            <w:tcW w:w="1349" w:type="dxa"/>
            <w:gridSpan w:val="2"/>
            <w:tcBorders>
              <w:top w:val="single" w:sz="4" w:space="0" w:color="008080"/>
              <w:left w:val="single" w:sz="4" w:space="0" w:color="008080"/>
              <w:bottom w:val="single" w:sz="4" w:space="0" w:color="008080"/>
              <w:right w:val="single" w:sz="4" w:space="0" w:color="008080"/>
            </w:tcBorders>
          </w:tcPr>
          <w:p w:rsidR="00725FBA" w:rsidRPr="00076CE1" w:rsidRDefault="00E56C9A" w:rsidP="00725FBA">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color w:val="000000"/>
                <w:sz w:val="20"/>
                <w:szCs w:val="20"/>
              </w:rPr>
              <w:t>2,599.4</w:t>
            </w:r>
          </w:p>
        </w:tc>
        <w:tc>
          <w:tcPr>
            <w:tcW w:w="1349"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color w:val="000000"/>
                <w:sz w:val="20"/>
                <w:szCs w:val="20"/>
              </w:rPr>
              <w:t>43.1%</w:t>
            </w:r>
          </w:p>
        </w:tc>
        <w:tc>
          <w:tcPr>
            <w:tcW w:w="1983"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1455"/>
                <w:tab w:val="left" w:pos="5040"/>
                <w:tab w:val="left" w:pos="6885"/>
              </w:tabs>
              <w:spacing w:after="120"/>
              <w:rPr>
                <w:rFonts w:ascii="Arial" w:eastAsia="Arial Unicode MS" w:hAnsi="Arial" w:cs="Arial"/>
                <w:b/>
                <w:color w:val="000000"/>
                <w:sz w:val="20"/>
                <w:szCs w:val="20"/>
              </w:rPr>
            </w:pPr>
          </w:p>
        </w:tc>
        <w:tc>
          <w:tcPr>
            <w:tcW w:w="1345"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sz w:val="20"/>
                <w:szCs w:val="18"/>
              </w:rPr>
            </w:pPr>
            <w:r>
              <w:rPr>
                <w:rFonts w:ascii="Arial" w:eastAsia="Arial Unicode MS" w:hAnsi="Arial" w:cs="Arial"/>
                <w:b/>
                <w:sz w:val="20"/>
                <w:szCs w:val="18"/>
              </w:rPr>
              <w:t>-</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sz w:val="20"/>
                <w:szCs w:val="18"/>
              </w:rPr>
            </w:pPr>
            <w:r>
              <w:rPr>
                <w:rFonts w:ascii="Arial" w:eastAsia="Arial Unicode MS" w:hAnsi="Arial" w:cs="Arial"/>
                <w:b/>
                <w:sz w:val="20"/>
                <w:szCs w:val="18"/>
              </w:rPr>
              <w:t>-</w:t>
            </w:r>
          </w:p>
        </w:tc>
      </w:tr>
      <w:tr w:rsidR="00B368D6" w:rsidTr="00725FBA">
        <w:trPr>
          <w:gridAfter w:val="1"/>
          <w:wAfter w:w="7" w:type="dxa"/>
          <w:trHeight w:val="431"/>
        </w:trPr>
        <w:tc>
          <w:tcPr>
            <w:tcW w:w="7366" w:type="dxa"/>
            <w:gridSpan w:val="5"/>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rPr>
                <w:rFonts w:ascii="Arial" w:eastAsia="Arial Unicode MS" w:hAnsi="Arial" w:cs="Arial"/>
                <w:b/>
                <w:color w:val="000000"/>
                <w:sz w:val="20"/>
                <w:szCs w:val="20"/>
              </w:rPr>
            </w:pPr>
            <w:r w:rsidRPr="00076CE1">
              <w:rPr>
                <w:rFonts w:ascii="Arial" w:eastAsia="Arial Unicode MS" w:hAnsi="Arial" w:cs="Arial"/>
                <w:b/>
                <w:color w:val="000000"/>
                <w:sz w:val="20"/>
                <w:szCs w:val="20"/>
              </w:rPr>
              <w:t>Private equity</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336.5</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5.6%</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Capital Dynamics</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452.7</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6.3%</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11.7</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0.2%</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Standard Life</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28.2</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0.4%</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348.2</w:t>
            </w:r>
          </w:p>
        </w:tc>
        <w:tc>
          <w:tcPr>
            <w:tcW w:w="1349"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5.8%</w:t>
            </w:r>
          </w:p>
        </w:tc>
        <w:tc>
          <w:tcPr>
            <w:tcW w:w="1983"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1455"/>
                <w:tab w:val="left" w:pos="5040"/>
                <w:tab w:val="left" w:pos="6885"/>
              </w:tabs>
              <w:spacing w:after="120"/>
              <w:rPr>
                <w:rFonts w:ascii="Arial" w:eastAsia="Arial Unicode MS" w:hAnsi="Arial" w:cs="Arial"/>
                <w:b/>
                <w:color w:val="000000"/>
                <w:sz w:val="20"/>
                <w:szCs w:val="20"/>
              </w:rPr>
            </w:pPr>
          </w:p>
        </w:tc>
        <w:tc>
          <w:tcPr>
            <w:tcW w:w="1345"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480.9</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6.7%</w:t>
            </w:r>
          </w:p>
        </w:tc>
      </w:tr>
      <w:tr w:rsidR="00B368D6" w:rsidTr="00725FBA">
        <w:trPr>
          <w:gridAfter w:val="1"/>
          <w:wAfter w:w="7" w:type="dxa"/>
          <w:trHeight w:val="431"/>
        </w:trPr>
        <w:tc>
          <w:tcPr>
            <w:tcW w:w="7366" w:type="dxa"/>
            <w:gridSpan w:val="5"/>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rPr>
                <w:rFonts w:ascii="Arial" w:eastAsia="Arial Unicode MS" w:hAnsi="Arial" w:cs="Arial"/>
                <w:b/>
                <w:color w:val="000000"/>
                <w:sz w:val="20"/>
                <w:szCs w:val="20"/>
              </w:rPr>
            </w:pPr>
            <w:r w:rsidRPr="00076CE1">
              <w:rPr>
                <w:rFonts w:ascii="Arial" w:eastAsia="Arial Unicode MS" w:hAnsi="Arial" w:cs="Arial"/>
                <w:b/>
                <w:color w:val="000000"/>
                <w:sz w:val="20"/>
                <w:szCs w:val="20"/>
              </w:rPr>
              <w:t xml:space="preserve">Long </w:t>
            </w:r>
            <w:r w:rsidRPr="00076CE1">
              <w:rPr>
                <w:rFonts w:ascii="Arial" w:eastAsia="Arial Unicode MS" w:hAnsi="Arial" w:cs="Arial"/>
                <w:b/>
                <w:color w:val="000000"/>
                <w:sz w:val="20"/>
                <w:szCs w:val="20"/>
              </w:rPr>
              <w:t>term credit investments</w:t>
            </w:r>
          </w:p>
        </w:tc>
      </w:tr>
      <w:tr w:rsidR="00B368D6" w:rsidTr="00D166C7">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56.0</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0.9%</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Ares Institutional</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w:t>
            </w:r>
          </w:p>
        </w:tc>
      </w:tr>
      <w:tr w:rsidR="00B368D6" w:rsidTr="00D166C7">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74.5</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1.2%</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Babson</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73.0</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1.2%</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roofErr w:type="spellStart"/>
            <w:r w:rsidRPr="00076CE1">
              <w:rPr>
                <w:rFonts w:ascii="Arial" w:eastAsia="Arial Unicode MS" w:hAnsi="Arial" w:cs="Arial"/>
                <w:color w:val="000000"/>
                <w:sz w:val="20"/>
                <w:szCs w:val="20"/>
              </w:rPr>
              <w:t>Hayfin</w:t>
            </w:r>
            <w:proofErr w:type="spellEnd"/>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52.4</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0.7%</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0.0</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0.0%</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roofErr w:type="spellStart"/>
            <w:r w:rsidRPr="00076CE1">
              <w:rPr>
                <w:rFonts w:ascii="Arial" w:eastAsia="Arial Unicode MS" w:hAnsi="Arial" w:cs="Arial"/>
                <w:color w:val="000000"/>
                <w:sz w:val="20"/>
                <w:szCs w:val="20"/>
              </w:rPr>
              <w:t>Highbridge</w:t>
            </w:r>
            <w:proofErr w:type="spellEnd"/>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0.0</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w:t>
            </w:r>
            <w:r>
              <w:rPr>
                <w:rFonts w:ascii="Arial" w:eastAsia="Arial Unicode MS" w:hAnsi="Arial" w:cs="Arial"/>
                <w:color w:val="000000"/>
                <w:sz w:val="20"/>
                <w:szCs w:val="20"/>
              </w:rPr>
              <w:t>.0</w:t>
            </w:r>
            <w:r w:rsidRPr="00076CE1">
              <w:rPr>
                <w:rFonts w:ascii="Arial" w:eastAsia="Arial Unicode MS" w:hAnsi="Arial" w:cs="Arial"/>
                <w:color w:val="000000"/>
                <w:sz w:val="20"/>
                <w:szCs w:val="20"/>
              </w:rPr>
              <w:t>%</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4.9</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0.1%</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roofErr w:type="spellStart"/>
            <w:r w:rsidRPr="00076CE1">
              <w:rPr>
                <w:rFonts w:ascii="Arial" w:eastAsia="Arial Unicode MS" w:hAnsi="Arial" w:cs="Arial"/>
                <w:color w:val="000000"/>
                <w:sz w:val="20"/>
                <w:szCs w:val="20"/>
              </w:rPr>
              <w:t>Kreos</w:t>
            </w:r>
            <w:proofErr w:type="spellEnd"/>
            <w:r w:rsidRPr="00076CE1">
              <w:rPr>
                <w:rFonts w:ascii="Arial" w:eastAsia="Arial Unicode MS" w:hAnsi="Arial" w:cs="Arial"/>
                <w:color w:val="000000"/>
                <w:sz w:val="20"/>
                <w:szCs w:val="20"/>
              </w:rPr>
              <w:t xml:space="preserve"> </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33.8</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0.5%</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5.9</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0.1%</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roofErr w:type="spellStart"/>
            <w:r w:rsidRPr="00076CE1">
              <w:rPr>
                <w:rFonts w:ascii="Arial" w:eastAsia="Arial Unicode MS" w:hAnsi="Arial" w:cs="Arial"/>
                <w:color w:val="000000"/>
                <w:sz w:val="20"/>
                <w:szCs w:val="20"/>
              </w:rPr>
              <w:t>Muzinich</w:t>
            </w:r>
            <w:proofErr w:type="spellEnd"/>
            <w:r w:rsidRPr="00076CE1">
              <w:rPr>
                <w:rFonts w:ascii="Arial" w:eastAsia="Arial Unicode MS" w:hAnsi="Arial" w:cs="Arial"/>
                <w:color w:val="000000"/>
                <w:sz w:val="20"/>
                <w:szCs w:val="20"/>
              </w:rPr>
              <w:t xml:space="preserve"> Private Debt Fund</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17.6</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0.2%</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47.3</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0.8%</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roofErr w:type="spellStart"/>
            <w:r w:rsidRPr="00076CE1">
              <w:rPr>
                <w:rFonts w:ascii="Arial" w:eastAsia="Arial Unicode MS" w:hAnsi="Arial" w:cs="Arial"/>
                <w:color w:val="000000"/>
                <w:sz w:val="20"/>
                <w:szCs w:val="20"/>
              </w:rPr>
              <w:t>Permira</w:t>
            </w:r>
            <w:proofErr w:type="spellEnd"/>
            <w:r w:rsidRPr="00076CE1">
              <w:rPr>
                <w:rFonts w:ascii="Arial" w:eastAsia="Arial Unicode MS" w:hAnsi="Arial" w:cs="Arial"/>
                <w:color w:val="000000"/>
                <w:sz w:val="20"/>
                <w:szCs w:val="20"/>
              </w:rPr>
              <w:t xml:space="preserve"> Credit Solutions</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76.6</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1.1%</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57.0</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0.9%</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THL</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18.4</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0.3%</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White Oak</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68.8</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1.0%</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83.6</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1.4%</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roofErr w:type="spellStart"/>
            <w:r w:rsidRPr="00076CE1">
              <w:rPr>
                <w:rFonts w:ascii="Arial" w:eastAsia="Arial Unicode MS" w:hAnsi="Arial" w:cs="Arial"/>
                <w:color w:val="000000"/>
                <w:sz w:val="20"/>
                <w:szCs w:val="20"/>
              </w:rPr>
              <w:t>Heylo</w:t>
            </w:r>
            <w:proofErr w:type="spellEnd"/>
            <w:r w:rsidRPr="00076CE1">
              <w:rPr>
                <w:rFonts w:ascii="Arial" w:eastAsia="Arial Unicode MS" w:hAnsi="Arial" w:cs="Arial"/>
                <w:color w:val="000000"/>
                <w:sz w:val="20"/>
                <w:szCs w:val="20"/>
              </w:rPr>
              <w:t xml:space="preserve"> Housing</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138.6</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1.9%</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214.6</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3.5%</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Prima</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256.8</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3.6%</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83.0</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1.4%</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Venn Commercial Real Estate</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83.7</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1.2%</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lastRenderedPageBreak/>
              <w:t>11.4</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0.2%</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roofErr w:type="spellStart"/>
            <w:r w:rsidRPr="00076CE1">
              <w:rPr>
                <w:rFonts w:ascii="Arial" w:eastAsia="Arial Unicode MS" w:hAnsi="Arial" w:cs="Arial"/>
                <w:color w:val="000000"/>
                <w:sz w:val="20"/>
                <w:szCs w:val="20"/>
              </w:rPr>
              <w:t>Westmill</w:t>
            </w:r>
            <w:proofErr w:type="spellEnd"/>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10.9</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0.2%</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125.0</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2.1%</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roofErr w:type="spellStart"/>
            <w:r w:rsidRPr="00076CE1">
              <w:rPr>
                <w:rFonts w:ascii="Arial" w:eastAsia="Arial Unicode MS" w:hAnsi="Arial" w:cs="Arial"/>
                <w:color w:val="000000"/>
                <w:sz w:val="20"/>
                <w:szCs w:val="20"/>
              </w:rPr>
              <w:t>Bluebay</w:t>
            </w:r>
            <w:proofErr w:type="spellEnd"/>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132.5</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1.8%</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60.0</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1.0%</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HSBC</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71.5</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1.0%</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83.1</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1.4%</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Investec</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101.7</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1.4</w:t>
            </w:r>
            <w:r w:rsidRPr="00076CE1">
              <w:rPr>
                <w:rFonts w:ascii="Arial" w:eastAsia="Arial Unicode MS" w:hAnsi="Arial" w:cs="Arial"/>
                <w:color w:val="000000"/>
                <w:sz w:val="20"/>
                <w:szCs w:val="20"/>
              </w:rPr>
              <w:t>%</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134.0</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2.2%</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roofErr w:type="spellStart"/>
            <w:r w:rsidRPr="00076CE1">
              <w:rPr>
                <w:rFonts w:ascii="Arial" w:eastAsia="Arial Unicode MS" w:hAnsi="Arial" w:cs="Arial"/>
                <w:color w:val="000000"/>
                <w:sz w:val="20"/>
                <w:szCs w:val="20"/>
              </w:rPr>
              <w:t>Pictet</w:t>
            </w:r>
            <w:proofErr w:type="spellEnd"/>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159.6</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2.2</w:t>
            </w:r>
            <w:r w:rsidRPr="00076CE1">
              <w:rPr>
                <w:rFonts w:ascii="Arial" w:eastAsia="Arial Unicode MS" w:hAnsi="Arial" w:cs="Arial"/>
                <w:color w:val="000000"/>
                <w:sz w:val="20"/>
                <w:szCs w:val="20"/>
              </w:rPr>
              <w:t>%</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89.2</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1.5%</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CRC</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152.5</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2.1%</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53.0</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0.9%</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EQT</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51.2</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0.7%</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109.9</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1.8%</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MFO King Street</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128.4</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1.8%</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52.4</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0.9%</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Monarch</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67.0</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0.9%</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54.0</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0.9%</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Neuberger Berman</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61.9</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0.9%</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47.6</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0.8%</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roofErr w:type="spellStart"/>
            <w:r w:rsidRPr="00076CE1">
              <w:rPr>
                <w:rFonts w:ascii="Arial" w:eastAsia="Arial Unicode MS" w:hAnsi="Arial" w:cs="Arial"/>
                <w:color w:val="000000"/>
                <w:sz w:val="20"/>
                <w:szCs w:val="20"/>
              </w:rPr>
              <w:t>Pimco</w:t>
            </w:r>
            <w:proofErr w:type="spellEnd"/>
            <w:r w:rsidRPr="00076CE1">
              <w:rPr>
                <w:rFonts w:ascii="Arial" w:eastAsia="Arial Unicode MS" w:hAnsi="Arial" w:cs="Arial"/>
                <w:color w:val="000000"/>
                <w:sz w:val="20"/>
                <w:szCs w:val="20"/>
              </w:rPr>
              <w:t xml:space="preserve"> Bravo</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64.8</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0.9%</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b/>
                <w:color w:val="000000"/>
                <w:sz w:val="20"/>
                <w:szCs w:val="20"/>
              </w:rPr>
              <w:t>1,537.8</w:t>
            </w:r>
          </w:p>
        </w:tc>
        <w:tc>
          <w:tcPr>
            <w:tcW w:w="1349"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b/>
                <w:color w:val="000000"/>
                <w:sz w:val="20"/>
                <w:szCs w:val="20"/>
              </w:rPr>
              <w:t>25.5%</w:t>
            </w:r>
          </w:p>
        </w:tc>
        <w:tc>
          <w:tcPr>
            <w:tcW w:w="1983"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
        </w:tc>
        <w:tc>
          <w:tcPr>
            <w:tcW w:w="1345"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color w:val="000000"/>
                <w:sz w:val="20"/>
                <w:szCs w:val="20"/>
              </w:rPr>
            </w:pPr>
            <w:r>
              <w:rPr>
                <w:rFonts w:ascii="Arial" w:eastAsia="Arial Unicode MS" w:hAnsi="Arial" w:cs="Arial"/>
                <w:b/>
                <w:color w:val="000000"/>
                <w:sz w:val="20"/>
                <w:szCs w:val="20"/>
              </w:rPr>
              <w:t>1,730.2</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color w:val="000000"/>
                <w:sz w:val="20"/>
                <w:szCs w:val="20"/>
              </w:rPr>
            </w:pPr>
            <w:r>
              <w:rPr>
                <w:rFonts w:ascii="Arial" w:eastAsia="Arial Unicode MS" w:hAnsi="Arial" w:cs="Arial"/>
                <w:b/>
                <w:color w:val="000000"/>
                <w:sz w:val="20"/>
                <w:szCs w:val="20"/>
              </w:rPr>
              <w:t>24.1</w:t>
            </w:r>
            <w:r w:rsidRPr="00076CE1">
              <w:rPr>
                <w:rFonts w:ascii="Arial" w:eastAsia="Arial Unicode MS" w:hAnsi="Arial" w:cs="Arial"/>
                <w:b/>
                <w:color w:val="000000"/>
                <w:sz w:val="20"/>
                <w:szCs w:val="20"/>
              </w:rPr>
              <w:t>%</w:t>
            </w:r>
          </w:p>
        </w:tc>
      </w:tr>
      <w:tr w:rsidR="00B368D6" w:rsidTr="001C1335">
        <w:trPr>
          <w:trHeight w:val="431"/>
        </w:trPr>
        <w:tc>
          <w:tcPr>
            <w:tcW w:w="7373" w:type="dxa"/>
            <w:gridSpan w:val="6"/>
            <w:tcBorders>
              <w:top w:val="single" w:sz="4" w:space="0" w:color="008080"/>
              <w:left w:val="single" w:sz="4" w:space="0" w:color="008080"/>
              <w:bottom w:val="single" w:sz="4" w:space="0" w:color="008080"/>
              <w:right w:val="single" w:sz="4" w:space="0" w:color="008080"/>
            </w:tcBorders>
            <w:shd w:val="clear" w:color="auto" w:fill="E7E6E6" w:themeFill="background2"/>
          </w:tcPr>
          <w:p w:rsidR="001C1335" w:rsidRPr="001C1335" w:rsidRDefault="00E56C9A" w:rsidP="001C1335">
            <w:pPr>
              <w:tabs>
                <w:tab w:val="left" w:pos="2160"/>
                <w:tab w:val="left" w:pos="6885"/>
              </w:tabs>
              <w:spacing w:after="60"/>
              <w:rPr>
                <w:rFonts w:ascii="Arial" w:eastAsia="Arial Unicode MS" w:hAnsi="Arial" w:cs="Arial"/>
                <w:b/>
                <w:color w:val="000000"/>
                <w:sz w:val="20"/>
                <w:szCs w:val="20"/>
              </w:rPr>
            </w:pPr>
            <w:r>
              <w:rPr>
                <w:rFonts w:ascii="Arial" w:eastAsia="Arial Unicode MS" w:hAnsi="Arial" w:cs="Arial"/>
                <w:b/>
                <w:color w:val="000000"/>
                <w:sz w:val="20"/>
                <w:szCs w:val="20"/>
              </w:rPr>
              <w:t>Liquid credit (cash and bonds)</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283.8</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4.7%</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1C1335" w:rsidRDefault="00E56C9A" w:rsidP="00725FBA">
            <w:pPr>
              <w:tabs>
                <w:tab w:val="left" w:pos="1455"/>
                <w:tab w:val="left" w:pos="5040"/>
                <w:tab w:val="left" w:pos="6885"/>
              </w:tabs>
              <w:spacing w:after="120"/>
              <w:rPr>
                <w:rFonts w:ascii="Arial" w:eastAsia="Arial Unicode MS" w:hAnsi="Arial" w:cs="Arial"/>
                <w:color w:val="000000"/>
                <w:sz w:val="20"/>
                <w:szCs w:val="20"/>
                <w:highlight w:val="yellow"/>
              </w:rPr>
            </w:pPr>
            <w:r w:rsidRPr="000476FA">
              <w:rPr>
                <w:rFonts w:ascii="Arial" w:eastAsia="Arial Unicode MS" w:hAnsi="Arial" w:cs="Arial"/>
                <w:color w:val="000000"/>
                <w:sz w:val="20"/>
                <w:szCs w:val="20"/>
              </w:rPr>
              <w:t>Local Pensions Partnership and LCC Treasury Management</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135.2</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w:t>
            </w:r>
            <w:r>
              <w:rPr>
                <w:rFonts w:ascii="Arial" w:eastAsia="Arial Unicode MS" w:hAnsi="Arial" w:cs="Arial"/>
                <w:color w:val="000000"/>
                <w:sz w:val="20"/>
                <w:szCs w:val="20"/>
              </w:rPr>
              <w:t>9</w:t>
            </w:r>
            <w:r w:rsidRPr="00076CE1">
              <w:rPr>
                <w:rFonts w:ascii="Arial" w:eastAsia="Arial Unicode MS" w:hAnsi="Arial" w:cs="Arial"/>
                <w:color w:val="000000"/>
                <w:sz w:val="20"/>
                <w:szCs w:val="20"/>
              </w:rPr>
              <w:t>%</w:t>
            </w:r>
          </w:p>
        </w:tc>
      </w:tr>
      <w:tr w:rsidR="00B368D6" w:rsidTr="002164A8">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C20824" w:rsidRDefault="00E56C9A" w:rsidP="00725FBA">
            <w:pPr>
              <w:tabs>
                <w:tab w:val="left" w:pos="2160"/>
                <w:tab w:val="left" w:pos="6885"/>
              </w:tabs>
              <w:spacing w:after="60"/>
              <w:jc w:val="right"/>
              <w:rPr>
                <w:rFonts w:ascii="Arial" w:eastAsia="Arial Unicode MS" w:hAnsi="Arial" w:cs="Arial"/>
                <w:b/>
                <w:color w:val="000000"/>
                <w:sz w:val="20"/>
                <w:szCs w:val="20"/>
              </w:rPr>
            </w:pPr>
            <w:r w:rsidRPr="00C20824">
              <w:rPr>
                <w:rFonts w:ascii="Arial" w:eastAsia="Arial Unicode MS" w:hAnsi="Arial" w:cs="Arial"/>
                <w:b/>
                <w:color w:val="000000"/>
                <w:sz w:val="20"/>
                <w:szCs w:val="20"/>
              </w:rPr>
              <w:t>283.8</w:t>
            </w:r>
          </w:p>
        </w:tc>
        <w:tc>
          <w:tcPr>
            <w:tcW w:w="1349"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C20824" w:rsidRDefault="00E56C9A" w:rsidP="00725FBA">
            <w:pPr>
              <w:tabs>
                <w:tab w:val="left" w:pos="2160"/>
                <w:tab w:val="left" w:pos="6885"/>
              </w:tabs>
              <w:spacing w:after="60"/>
              <w:jc w:val="right"/>
              <w:rPr>
                <w:rFonts w:ascii="Arial" w:eastAsia="Arial Unicode MS" w:hAnsi="Arial" w:cs="Arial"/>
                <w:b/>
                <w:color w:val="000000"/>
                <w:sz w:val="20"/>
                <w:szCs w:val="20"/>
              </w:rPr>
            </w:pPr>
            <w:r w:rsidRPr="00C20824">
              <w:rPr>
                <w:rFonts w:ascii="Arial" w:eastAsia="Arial Unicode MS" w:hAnsi="Arial" w:cs="Arial"/>
                <w:b/>
                <w:color w:val="000000"/>
                <w:sz w:val="20"/>
                <w:szCs w:val="20"/>
              </w:rPr>
              <w:t>4.7%</w:t>
            </w:r>
          </w:p>
        </w:tc>
        <w:tc>
          <w:tcPr>
            <w:tcW w:w="1983"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C20824" w:rsidRDefault="00E56C9A" w:rsidP="00725FBA">
            <w:pPr>
              <w:tabs>
                <w:tab w:val="left" w:pos="1455"/>
                <w:tab w:val="left" w:pos="5040"/>
                <w:tab w:val="left" w:pos="6885"/>
              </w:tabs>
              <w:spacing w:after="120"/>
              <w:rPr>
                <w:rFonts w:ascii="Arial" w:eastAsia="Arial Unicode MS" w:hAnsi="Arial" w:cs="Arial"/>
                <w:b/>
                <w:color w:val="000000"/>
                <w:sz w:val="20"/>
                <w:szCs w:val="20"/>
              </w:rPr>
            </w:pPr>
          </w:p>
        </w:tc>
        <w:tc>
          <w:tcPr>
            <w:tcW w:w="1345"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C20824" w:rsidRDefault="00E56C9A" w:rsidP="00725FBA">
            <w:pPr>
              <w:tabs>
                <w:tab w:val="left" w:pos="2160"/>
                <w:tab w:val="left" w:pos="6885"/>
              </w:tabs>
              <w:spacing w:after="60"/>
              <w:jc w:val="right"/>
              <w:rPr>
                <w:rFonts w:ascii="Arial" w:eastAsia="Arial Unicode MS" w:hAnsi="Arial" w:cs="Arial"/>
                <w:b/>
                <w:color w:val="000000"/>
                <w:sz w:val="20"/>
                <w:szCs w:val="20"/>
              </w:rPr>
            </w:pPr>
            <w:r>
              <w:rPr>
                <w:rFonts w:ascii="Arial" w:eastAsia="Arial Unicode MS" w:hAnsi="Arial" w:cs="Arial"/>
                <w:b/>
                <w:color w:val="000000"/>
                <w:sz w:val="20"/>
                <w:szCs w:val="20"/>
              </w:rPr>
              <w:t>135.2</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C20824" w:rsidRDefault="00E56C9A" w:rsidP="00725FBA">
            <w:pPr>
              <w:tabs>
                <w:tab w:val="left" w:pos="2160"/>
                <w:tab w:val="left" w:pos="6885"/>
              </w:tabs>
              <w:spacing w:after="60"/>
              <w:jc w:val="right"/>
              <w:rPr>
                <w:rFonts w:ascii="Arial" w:eastAsia="Arial Unicode MS" w:hAnsi="Arial" w:cs="Arial"/>
                <w:b/>
                <w:color w:val="000000"/>
                <w:sz w:val="20"/>
                <w:szCs w:val="20"/>
              </w:rPr>
            </w:pPr>
            <w:r w:rsidRPr="00C20824">
              <w:rPr>
                <w:rFonts w:ascii="Arial" w:eastAsia="Arial Unicode MS" w:hAnsi="Arial" w:cs="Arial"/>
                <w:b/>
                <w:color w:val="000000"/>
                <w:sz w:val="20"/>
                <w:szCs w:val="20"/>
              </w:rPr>
              <w:t>1</w:t>
            </w:r>
            <w:r>
              <w:rPr>
                <w:rFonts w:ascii="Arial" w:eastAsia="Arial Unicode MS" w:hAnsi="Arial" w:cs="Arial"/>
                <w:b/>
                <w:color w:val="000000"/>
                <w:sz w:val="20"/>
                <w:szCs w:val="20"/>
              </w:rPr>
              <w:t>.9</w:t>
            </w:r>
            <w:r w:rsidRPr="00C20824">
              <w:rPr>
                <w:rFonts w:ascii="Arial" w:eastAsia="Arial Unicode MS" w:hAnsi="Arial" w:cs="Arial"/>
                <w:b/>
                <w:color w:val="000000"/>
                <w:sz w:val="20"/>
                <w:szCs w:val="20"/>
              </w:rPr>
              <w:t>%</w:t>
            </w:r>
          </w:p>
        </w:tc>
      </w:tr>
      <w:tr w:rsidR="00B368D6" w:rsidTr="001C1335">
        <w:trPr>
          <w:trHeight w:val="431"/>
        </w:trPr>
        <w:tc>
          <w:tcPr>
            <w:tcW w:w="7373" w:type="dxa"/>
            <w:gridSpan w:val="6"/>
            <w:tcBorders>
              <w:top w:val="single" w:sz="4" w:space="0" w:color="008080"/>
              <w:left w:val="single" w:sz="4" w:space="0" w:color="008080"/>
              <w:bottom w:val="single" w:sz="4" w:space="0" w:color="008080"/>
              <w:right w:val="single" w:sz="4" w:space="0" w:color="008080"/>
            </w:tcBorders>
            <w:shd w:val="clear" w:color="auto" w:fill="E7E6E6" w:themeFill="background2"/>
          </w:tcPr>
          <w:p w:rsidR="001C1335" w:rsidRPr="001C1335" w:rsidRDefault="00E56C9A" w:rsidP="001C1335">
            <w:pPr>
              <w:tabs>
                <w:tab w:val="left" w:pos="2160"/>
                <w:tab w:val="left" w:pos="6885"/>
              </w:tabs>
              <w:spacing w:after="60"/>
              <w:rPr>
                <w:rFonts w:ascii="Arial" w:eastAsia="Arial Unicode MS" w:hAnsi="Arial" w:cs="Arial"/>
                <w:b/>
                <w:color w:val="000000"/>
                <w:sz w:val="20"/>
                <w:szCs w:val="20"/>
              </w:rPr>
            </w:pPr>
            <w:r>
              <w:rPr>
                <w:rFonts w:ascii="Arial" w:eastAsia="Arial Unicode MS" w:hAnsi="Arial" w:cs="Arial"/>
                <w:b/>
                <w:color w:val="000000"/>
                <w:sz w:val="20"/>
                <w:szCs w:val="20"/>
              </w:rPr>
              <w:t>Global equity funds</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C20824">
              <w:rPr>
                <w:rFonts w:ascii="Arial" w:eastAsia="Arial Unicode MS" w:hAnsi="Arial" w:cs="Arial"/>
                <w:color w:val="000000"/>
                <w:sz w:val="20"/>
                <w:szCs w:val="20"/>
              </w:rPr>
              <w:t>Local Pensions Partnership</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sidRPr="00C20824">
              <w:rPr>
                <w:rFonts w:ascii="Arial" w:eastAsia="Arial Unicode MS" w:hAnsi="Arial" w:cs="Arial"/>
                <w:color w:val="000000"/>
                <w:sz w:val="20"/>
                <w:szCs w:val="20"/>
              </w:rPr>
              <w:t>3,168.2</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sidRPr="00C20824">
              <w:rPr>
                <w:rFonts w:ascii="Arial" w:eastAsia="Arial Unicode MS" w:hAnsi="Arial" w:cs="Arial"/>
                <w:color w:val="000000"/>
                <w:sz w:val="20"/>
                <w:szCs w:val="20"/>
              </w:rPr>
              <w:t>44.1%</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w:t>
            </w:r>
          </w:p>
        </w:tc>
        <w:tc>
          <w:tcPr>
            <w:tcW w:w="1349"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w:t>
            </w:r>
          </w:p>
        </w:tc>
        <w:tc>
          <w:tcPr>
            <w:tcW w:w="1983"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C20824" w:rsidRDefault="00E56C9A" w:rsidP="00725FBA">
            <w:pPr>
              <w:tabs>
                <w:tab w:val="left" w:pos="1455"/>
                <w:tab w:val="left" w:pos="5040"/>
                <w:tab w:val="left" w:pos="6885"/>
              </w:tabs>
              <w:spacing w:after="120"/>
              <w:rPr>
                <w:rFonts w:ascii="Arial" w:eastAsia="Arial Unicode MS" w:hAnsi="Arial" w:cs="Arial"/>
                <w:color w:val="000000"/>
                <w:sz w:val="20"/>
                <w:szCs w:val="20"/>
              </w:rPr>
            </w:pPr>
          </w:p>
        </w:tc>
        <w:tc>
          <w:tcPr>
            <w:tcW w:w="1345"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C20824" w:rsidRDefault="00E56C9A" w:rsidP="00725FBA">
            <w:pPr>
              <w:tabs>
                <w:tab w:val="left" w:pos="2160"/>
                <w:tab w:val="left" w:pos="6885"/>
              </w:tabs>
              <w:spacing w:after="60"/>
              <w:jc w:val="right"/>
              <w:rPr>
                <w:rFonts w:ascii="Arial" w:eastAsia="Arial Unicode MS" w:hAnsi="Arial" w:cs="Arial"/>
                <w:b/>
                <w:color w:val="000000"/>
                <w:sz w:val="20"/>
                <w:szCs w:val="20"/>
              </w:rPr>
            </w:pPr>
            <w:r w:rsidRPr="00960119">
              <w:rPr>
                <w:rFonts w:ascii="Arial" w:eastAsia="Arial Unicode MS" w:hAnsi="Arial" w:cs="Arial"/>
                <w:b/>
                <w:color w:val="000000"/>
                <w:sz w:val="20"/>
                <w:szCs w:val="20"/>
              </w:rPr>
              <w:t>3,168.2</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C20824" w:rsidRDefault="00E56C9A" w:rsidP="00725FBA">
            <w:pPr>
              <w:tabs>
                <w:tab w:val="left" w:pos="2160"/>
                <w:tab w:val="left" w:pos="6885"/>
              </w:tabs>
              <w:spacing w:after="60"/>
              <w:jc w:val="right"/>
              <w:rPr>
                <w:rFonts w:ascii="Arial" w:eastAsia="Arial Unicode MS" w:hAnsi="Arial" w:cs="Arial"/>
                <w:b/>
                <w:color w:val="000000"/>
                <w:sz w:val="20"/>
                <w:szCs w:val="20"/>
              </w:rPr>
            </w:pPr>
            <w:r w:rsidRPr="00C20824">
              <w:rPr>
                <w:rFonts w:ascii="Arial" w:eastAsia="Arial Unicode MS" w:hAnsi="Arial" w:cs="Arial"/>
                <w:b/>
                <w:color w:val="000000"/>
                <w:sz w:val="20"/>
                <w:szCs w:val="20"/>
              </w:rPr>
              <w:t>44.1%</w:t>
            </w:r>
          </w:p>
        </w:tc>
      </w:tr>
      <w:tr w:rsidR="00B368D6" w:rsidTr="00711753">
        <w:trPr>
          <w:trHeight w:val="431"/>
        </w:trPr>
        <w:tc>
          <w:tcPr>
            <w:tcW w:w="7373" w:type="dxa"/>
            <w:gridSpan w:val="6"/>
            <w:tcBorders>
              <w:top w:val="single" w:sz="4" w:space="0" w:color="008080"/>
              <w:left w:val="single" w:sz="4" w:space="0" w:color="008080"/>
              <w:bottom w:val="single" w:sz="4" w:space="0" w:color="008080"/>
              <w:right w:val="single" w:sz="4" w:space="0" w:color="008080"/>
            </w:tcBorders>
            <w:shd w:val="clear" w:color="auto" w:fill="E7E6E6" w:themeFill="background2"/>
          </w:tcPr>
          <w:p w:rsidR="001C1335" w:rsidRPr="001C1335" w:rsidRDefault="00E56C9A" w:rsidP="001C1335">
            <w:pPr>
              <w:tabs>
                <w:tab w:val="left" w:pos="2160"/>
                <w:tab w:val="left" w:pos="6885"/>
              </w:tabs>
              <w:spacing w:after="60"/>
              <w:rPr>
                <w:rFonts w:ascii="Arial" w:eastAsia="Arial Unicode MS" w:hAnsi="Arial" w:cs="Arial"/>
                <w:b/>
                <w:color w:val="000000"/>
                <w:sz w:val="20"/>
                <w:szCs w:val="20"/>
              </w:rPr>
            </w:pPr>
            <w:r>
              <w:rPr>
                <w:rFonts w:ascii="Arial" w:eastAsia="Arial Unicode MS" w:hAnsi="Arial" w:cs="Arial"/>
                <w:b/>
                <w:color w:val="000000"/>
                <w:sz w:val="20"/>
                <w:szCs w:val="20"/>
              </w:rPr>
              <w:t>Infrastructure</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sidRPr="00C20824">
              <w:rPr>
                <w:rFonts w:ascii="Arial" w:eastAsia="Arial Unicode MS" w:hAnsi="Arial" w:cs="Arial"/>
                <w:color w:val="000000"/>
                <w:sz w:val="20"/>
                <w:szCs w:val="20"/>
              </w:rPr>
              <w:t>62.6</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sidRPr="00C20824">
              <w:rPr>
                <w:rFonts w:ascii="Arial" w:eastAsia="Arial Unicode MS" w:hAnsi="Arial" w:cs="Arial"/>
                <w:color w:val="000000"/>
                <w:sz w:val="20"/>
                <w:szCs w:val="20"/>
              </w:rPr>
              <w:t>1.0%</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C20824">
              <w:rPr>
                <w:rFonts w:ascii="Arial" w:eastAsia="Arial Unicode MS" w:hAnsi="Arial" w:cs="Arial"/>
                <w:color w:val="000000"/>
                <w:sz w:val="20"/>
                <w:szCs w:val="20"/>
              </w:rPr>
              <w:t>Arclight Energy</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sidRPr="00C20824">
              <w:rPr>
                <w:rFonts w:ascii="Arial" w:eastAsia="Arial Unicode MS" w:hAnsi="Arial" w:cs="Arial"/>
                <w:color w:val="000000"/>
                <w:sz w:val="20"/>
                <w:szCs w:val="20"/>
              </w:rPr>
              <w:t>95.</w:t>
            </w:r>
            <w:r>
              <w:rPr>
                <w:rFonts w:ascii="Arial" w:eastAsia="Arial Unicode MS" w:hAnsi="Arial" w:cs="Arial"/>
                <w:color w:val="000000"/>
                <w:sz w:val="20"/>
                <w:szCs w:val="20"/>
              </w:rPr>
              <w:t>7</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sidRPr="00C20824">
              <w:rPr>
                <w:rFonts w:ascii="Arial" w:eastAsia="Arial Unicode MS" w:hAnsi="Arial" w:cs="Arial"/>
                <w:color w:val="000000"/>
                <w:sz w:val="20"/>
                <w:szCs w:val="20"/>
              </w:rPr>
              <w:t>1.3%</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sidRPr="00C20824">
              <w:rPr>
                <w:rFonts w:ascii="Arial" w:eastAsia="Arial Unicode MS" w:hAnsi="Arial" w:cs="Arial"/>
                <w:color w:val="000000"/>
                <w:sz w:val="20"/>
                <w:szCs w:val="20"/>
              </w:rPr>
              <w:t>66.4</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sidRPr="00C20824">
              <w:rPr>
                <w:rFonts w:ascii="Arial" w:eastAsia="Arial Unicode MS" w:hAnsi="Arial" w:cs="Arial"/>
                <w:color w:val="000000"/>
                <w:sz w:val="20"/>
                <w:szCs w:val="20"/>
              </w:rPr>
              <w:t>1.1%</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C20824">
              <w:rPr>
                <w:rFonts w:ascii="Arial" w:eastAsia="Arial Unicode MS" w:hAnsi="Arial" w:cs="Arial"/>
                <w:color w:val="000000"/>
                <w:sz w:val="20"/>
                <w:szCs w:val="20"/>
              </w:rPr>
              <w:t>Capital Dynamics Cape Byron</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sidRPr="00C20824">
              <w:rPr>
                <w:rFonts w:ascii="Arial" w:eastAsia="Arial Unicode MS" w:hAnsi="Arial" w:cs="Arial"/>
                <w:color w:val="000000"/>
                <w:sz w:val="20"/>
                <w:szCs w:val="20"/>
              </w:rPr>
              <w:t>85.7</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sidRPr="00C20824">
              <w:rPr>
                <w:rFonts w:ascii="Arial" w:eastAsia="Arial Unicode MS" w:hAnsi="Arial" w:cs="Arial"/>
                <w:color w:val="000000"/>
                <w:sz w:val="20"/>
                <w:szCs w:val="20"/>
              </w:rPr>
              <w:t>1.2%</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sidRPr="00C20824">
              <w:rPr>
                <w:rFonts w:ascii="Arial" w:eastAsia="Arial Unicode MS" w:hAnsi="Arial" w:cs="Arial"/>
                <w:color w:val="000000"/>
                <w:sz w:val="20"/>
                <w:szCs w:val="20"/>
              </w:rPr>
              <w:t>31.7</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sidRPr="00C20824">
              <w:rPr>
                <w:rFonts w:ascii="Arial" w:eastAsia="Arial Unicode MS" w:hAnsi="Arial" w:cs="Arial"/>
                <w:color w:val="000000"/>
                <w:sz w:val="20"/>
                <w:szCs w:val="20"/>
              </w:rPr>
              <w:t>0.5%</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C20824">
              <w:rPr>
                <w:rFonts w:ascii="Arial" w:eastAsia="Arial Unicode MS" w:hAnsi="Arial" w:cs="Arial"/>
                <w:color w:val="000000"/>
                <w:sz w:val="20"/>
                <w:szCs w:val="20"/>
              </w:rPr>
              <w:t>Capital Dynamics Clean Energy</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sidRPr="00C20824">
              <w:rPr>
                <w:rFonts w:ascii="Arial" w:eastAsia="Arial Unicode MS" w:hAnsi="Arial" w:cs="Arial"/>
                <w:color w:val="000000"/>
                <w:sz w:val="20"/>
                <w:szCs w:val="20"/>
              </w:rPr>
              <w:t>31.1</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C20824" w:rsidRDefault="00E56C9A" w:rsidP="00725FBA">
            <w:pPr>
              <w:tabs>
                <w:tab w:val="left" w:pos="2160"/>
                <w:tab w:val="left" w:pos="6885"/>
              </w:tabs>
              <w:spacing w:after="60"/>
              <w:jc w:val="right"/>
              <w:rPr>
                <w:rFonts w:ascii="Arial" w:eastAsia="Arial Unicode MS" w:hAnsi="Arial" w:cs="Arial"/>
                <w:color w:val="000000"/>
                <w:sz w:val="20"/>
                <w:szCs w:val="20"/>
              </w:rPr>
            </w:pPr>
            <w:r w:rsidRPr="00C20824">
              <w:rPr>
                <w:rFonts w:ascii="Arial" w:eastAsia="Arial Unicode MS" w:hAnsi="Arial" w:cs="Arial"/>
                <w:color w:val="000000"/>
                <w:sz w:val="20"/>
                <w:szCs w:val="20"/>
              </w:rPr>
              <w:t>0.4%</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F90234" w:rsidRDefault="00E56C9A" w:rsidP="00725FBA">
            <w:pPr>
              <w:tabs>
                <w:tab w:val="left" w:pos="2160"/>
                <w:tab w:val="left" w:pos="6885"/>
              </w:tabs>
              <w:spacing w:after="60"/>
              <w:jc w:val="right"/>
              <w:rPr>
                <w:rFonts w:ascii="Arial" w:eastAsia="Arial Unicode MS" w:hAnsi="Arial" w:cs="Arial"/>
                <w:color w:val="000000"/>
                <w:sz w:val="20"/>
                <w:szCs w:val="20"/>
              </w:rPr>
            </w:pPr>
            <w:r w:rsidRPr="00F90234">
              <w:rPr>
                <w:rFonts w:ascii="Arial" w:eastAsia="Arial Unicode MS" w:hAnsi="Arial" w:cs="Arial"/>
                <w:color w:val="000000"/>
                <w:sz w:val="20"/>
                <w:szCs w:val="20"/>
              </w:rPr>
              <w:t>76.0</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F90234" w:rsidRDefault="00E56C9A" w:rsidP="00725FBA">
            <w:pPr>
              <w:tabs>
                <w:tab w:val="left" w:pos="2160"/>
                <w:tab w:val="left" w:pos="6885"/>
              </w:tabs>
              <w:spacing w:after="60"/>
              <w:jc w:val="right"/>
              <w:rPr>
                <w:rFonts w:ascii="Arial" w:eastAsia="Arial Unicode MS" w:hAnsi="Arial" w:cs="Arial"/>
                <w:color w:val="000000"/>
                <w:sz w:val="20"/>
                <w:szCs w:val="20"/>
              </w:rPr>
            </w:pPr>
            <w:r w:rsidRPr="00F90234">
              <w:rPr>
                <w:rFonts w:ascii="Arial" w:eastAsia="Arial Unicode MS" w:hAnsi="Arial" w:cs="Arial"/>
                <w:color w:val="000000"/>
                <w:sz w:val="20"/>
                <w:szCs w:val="20"/>
              </w:rPr>
              <w:t>1.3%</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F90234"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F90234">
              <w:rPr>
                <w:rFonts w:ascii="Arial" w:eastAsia="Arial Unicode MS" w:hAnsi="Arial" w:cs="Arial"/>
                <w:color w:val="000000"/>
                <w:sz w:val="20"/>
                <w:szCs w:val="20"/>
              </w:rPr>
              <w:t>Capital Dynamics Red Rose</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F90234">
              <w:rPr>
                <w:rFonts w:ascii="Arial" w:eastAsia="Arial Unicode MS" w:hAnsi="Arial" w:cs="Arial"/>
                <w:color w:val="000000"/>
                <w:sz w:val="20"/>
                <w:szCs w:val="20"/>
              </w:rPr>
              <w:t>60.5</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0.8%</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0.7</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0.0%</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Capital Dynamics US Solar</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9.6</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0.2%</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 xml:space="preserve">EQT </w:t>
            </w:r>
            <w:r w:rsidRPr="00076CE1">
              <w:rPr>
                <w:rFonts w:ascii="Arial" w:eastAsia="Arial Unicode MS" w:hAnsi="Arial" w:cs="Arial"/>
                <w:color w:val="000000"/>
                <w:sz w:val="20"/>
                <w:szCs w:val="20"/>
              </w:rPr>
              <w:t>Infrastructure</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26.6</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0.4%</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34.3</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0.6%</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Global Infrastructure Partners</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60.3</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0.8%</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70.4</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1.1%</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Guild Investments Ltd</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130.</w:t>
            </w:r>
            <w:r>
              <w:rPr>
                <w:rFonts w:ascii="Arial" w:eastAsia="Arial Unicode MS" w:hAnsi="Arial" w:cs="Arial"/>
                <w:color w:val="000000"/>
                <w:sz w:val="20"/>
                <w:szCs w:val="20"/>
              </w:rPr>
              <w:t>1</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1.8%</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lastRenderedPageBreak/>
              <w:t>0.0</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0.0%</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GLIL Infrastructure</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42.6</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0.6%</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35.2</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0.6%</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roofErr w:type="spellStart"/>
            <w:r w:rsidRPr="00076CE1">
              <w:rPr>
                <w:rFonts w:ascii="Arial" w:eastAsia="Arial Unicode MS" w:hAnsi="Arial" w:cs="Arial"/>
                <w:color w:val="000000"/>
                <w:sz w:val="20"/>
                <w:szCs w:val="20"/>
              </w:rPr>
              <w:t>Highstar</w:t>
            </w:r>
            <w:proofErr w:type="spellEnd"/>
            <w:r w:rsidRPr="00076CE1">
              <w:rPr>
                <w:rFonts w:ascii="Arial" w:eastAsia="Arial Unicode MS" w:hAnsi="Arial" w:cs="Arial"/>
                <w:color w:val="000000"/>
                <w:sz w:val="20"/>
                <w:szCs w:val="20"/>
              </w:rPr>
              <w:t xml:space="preserve"> Capital</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61.5</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0.9%</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34.0</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0.6%</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Icon Infrastructure</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69.8</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1.0%</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7.5</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0.1%</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 xml:space="preserve">ISQ </w:t>
            </w:r>
            <w:r w:rsidRPr="00076CE1">
              <w:rPr>
                <w:rFonts w:ascii="Arial" w:eastAsia="Arial Unicode MS" w:hAnsi="Arial" w:cs="Arial"/>
                <w:color w:val="000000"/>
                <w:sz w:val="20"/>
                <w:szCs w:val="20"/>
              </w:rPr>
              <w:t>Global Infrastructure</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101.3</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1.4%</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135.9</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2.3%</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roofErr w:type="spellStart"/>
            <w:r w:rsidRPr="00076CE1">
              <w:rPr>
                <w:rFonts w:ascii="Arial" w:eastAsia="Arial Unicode MS" w:hAnsi="Arial" w:cs="Arial"/>
                <w:color w:val="000000"/>
                <w:sz w:val="20"/>
                <w:szCs w:val="20"/>
              </w:rPr>
              <w:t>Madrilena</w:t>
            </w:r>
            <w:proofErr w:type="spellEnd"/>
            <w:r w:rsidRPr="00076CE1">
              <w:rPr>
                <w:rFonts w:ascii="Arial" w:eastAsia="Arial Unicode MS" w:hAnsi="Arial" w:cs="Arial"/>
                <w:color w:val="000000"/>
                <w:sz w:val="20"/>
                <w:szCs w:val="20"/>
              </w:rPr>
              <w:t xml:space="preserve"> Red de Gas (MRG)</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146.6</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2.0%</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5.2</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0.1%</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proofErr w:type="spellStart"/>
            <w:r w:rsidRPr="00076CE1">
              <w:rPr>
                <w:rFonts w:ascii="Arial" w:eastAsia="Arial Unicode MS" w:hAnsi="Arial" w:cs="Arial"/>
                <w:color w:val="000000"/>
                <w:sz w:val="20"/>
                <w:szCs w:val="20"/>
              </w:rPr>
              <w:t>Stonepeak</w:t>
            </w:r>
            <w:proofErr w:type="spellEnd"/>
            <w:r w:rsidRPr="00076CE1">
              <w:rPr>
                <w:rFonts w:ascii="Arial" w:eastAsia="Arial Unicode MS" w:hAnsi="Arial" w:cs="Arial"/>
                <w:color w:val="000000"/>
                <w:sz w:val="20"/>
                <w:szCs w:val="20"/>
              </w:rPr>
              <w:t xml:space="preserve"> Infrastructure</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28.9</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0.4%</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569.5</w:t>
            </w:r>
          </w:p>
        </w:tc>
        <w:tc>
          <w:tcPr>
            <w:tcW w:w="1349"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9.5%</w:t>
            </w:r>
          </w:p>
        </w:tc>
        <w:tc>
          <w:tcPr>
            <w:tcW w:w="1983"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1455"/>
                <w:tab w:val="left" w:pos="5040"/>
                <w:tab w:val="left" w:pos="6885"/>
              </w:tabs>
              <w:spacing w:after="120"/>
              <w:rPr>
                <w:rFonts w:ascii="Arial" w:eastAsia="Arial Unicode MS" w:hAnsi="Arial" w:cs="Arial"/>
                <w:b/>
                <w:color w:val="000000"/>
                <w:sz w:val="20"/>
                <w:szCs w:val="20"/>
              </w:rPr>
            </w:pPr>
          </w:p>
        </w:tc>
        <w:tc>
          <w:tcPr>
            <w:tcW w:w="1345"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940.</w:t>
            </w:r>
            <w:r>
              <w:rPr>
                <w:rFonts w:ascii="Arial" w:eastAsia="Arial Unicode MS" w:hAnsi="Arial" w:cs="Arial"/>
                <w:b/>
                <w:color w:val="000000"/>
                <w:sz w:val="20"/>
                <w:szCs w:val="20"/>
              </w:rPr>
              <w:t>6</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13.1%</w:t>
            </w:r>
          </w:p>
        </w:tc>
      </w:tr>
      <w:tr w:rsidR="00B368D6" w:rsidTr="00711753">
        <w:trPr>
          <w:trHeight w:val="431"/>
        </w:trPr>
        <w:tc>
          <w:tcPr>
            <w:tcW w:w="7373" w:type="dxa"/>
            <w:gridSpan w:val="6"/>
            <w:tcBorders>
              <w:top w:val="single" w:sz="4" w:space="0" w:color="008080"/>
              <w:left w:val="single" w:sz="4" w:space="0" w:color="008080"/>
              <w:bottom w:val="single" w:sz="4" w:space="0" w:color="008080"/>
              <w:right w:val="single" w:sz="4" w:space="0" w:color="008080"/>
            </w:tcBorders>
            <w:shd w:val="clear" w:color="auto" w:fill="E7E6E6" w:themeFill="background2"/>
          </w:tcPr>
          <w:p w:rsidR="001C1335" w:rsidRPr="001C1335" w:rsidRDefault="00E56C9A" w:rsidP="001C1335">
            <w:pPr>
              <w:tabs>
                <w:tab w:val="left" w:pos="2160"/>
                <w:tab w:val="left" w:pos="6885"/>
              </w:tabs>
              <w:spacing w:after="60"/>
              <w:rPr>
                <w:rFonts w:ascii="Arial" w:eastAsia="Arial Unicode MS" w:hAnsi="Arial" w:cs="Arial"/>
                <w:b/>
                <w:color w:val="000000"/>
                <w:sz w:val="20"/>
                <w:szCs w:val="20"/>
              </w:rPr>
            </w:pPr>
            <w:r w:rsidRPr="001C1335">
              <w:rPr>
                <w:rFonts w:ascii="Arial" w:eastAsia="Arial Unicode MS" w:hAnsi="Arial" w:cs="Arial"/>
                <w:b/>
                <w:color w:val="000000"/>
                <w:sz w:val="20"/>
                <w:szCs w:val="20"/>
              </w:rPr>
              <w:t>Property</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 xml:space="preserve">  608.1</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10.1%</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Knight Frank</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637.0</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8.9%</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30.4</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0.5%</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Gatefold Hayes</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33.4</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0.5%</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14.0</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0.2%</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 xml:space="preserve">Kames Target </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25.0</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w:t>
            </w:r>
            <w:r>
              <w:rPr>
                <w:rFonts w:ascii="Arial" w:eastAsia="Arial Unicode MS" w:hAnsi="Arial" w:cs="Arial"/>
                <w:color w:val="000000"/>
                <w:sz w:val="20"/>
                <w:szCs w:val="20"/>
              </w:rPr>
              <w:t>4</w:t>
            </w:r>
            <w:r w:rsidRPr="00076CE1">
              <w:rPr>
                <w:rFonts w:ascii="Arial" w:eastAsia="Arial Unicode MS" w:hAnsi="Arial" w:cs="Arial"/>
                <w:color w:val="000000"/>
                <w:sz w:val="20"/>
                <w:szCs w:val="20"/>
              </w:rPr>
              <w:t>%</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36.1</w:t>
            </w:r>
          </w:p>
        </w:tc>
        <w:tc>
          <w:tcPr>
            <w:tcW w:w="1349"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0.6%</w:t>
            </w:r>
          </w:p>
        </w:tc>
        <w:tc>
          <w:tcPr>
            <w:tcW w:w="1983"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1455"/>
                <w:tab w:val="left" w:pos="5040"/>
                <w:tab w:val="left" w:pos="6885"/>
              </w:tabs>
              <w:spacing w:after="120"/>
              <w:rPr>
                <w:rFonts w:ascii="Arial" w:eastAsia="Arial Unicode MS" w:hAnsi="Arial" w:cs="Arial"/>
                <w:color w:val="000000"/>
                <w:sz w:val="20"/>
                <w:szCs w:val="20"/>
              </w:rPr>
            </w:pPr>
            <w:r w:rsidRPr="00076CE1">
              <w:rPr>
                <w:rFonts w:ascii="Arial" w:eastAsia="Arial Unicode MS" w:hAnsi="Arial" w:cs="Arial"/>
                <w:color w:val="000000"/>
                <w:sz w:val="20"/>
                <w:szCs w:val="20"/>
              </w:rPr>
              <w:t>M&amp;G Europe fund</w:t>
            </w:r>
          </w:p>
        </w:tc>
        <w:tc>
          <w:tcPr>
            <w:tcW w:w="1345" w:type="dxa"/>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41.0</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auto"/>
          </w:tcPr>
          <w:p w:rsidR="00725FBA" w:rsidRPr="00076CE1" w:rsidRDefault="00E56C9A" w:rsidP="00725FBA">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0.6%</w:t>
            </w:r>
          </w:p>
        </w:tc>
      </w:tr>
      <w:tr w:rsidR="00B368D6" w:rsidTr="00725FBA">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688.6</w:t>
            </w:r>
          </w:p>
        </w:tc>
        <w:tc>
          <w:tcPr>
            <w:tcW w:w="1349"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11.4%</w:t>
            </w:r>
          </w:p>
        </w:tc>
        <w:tc>
          <w:tcPr>
            <w:tcW w:w="1983"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1455"/>
                <w:tab w:val="left" w:pos="5040"/>
                <w:tab w:val="left" w:pos="6885"/>
              </w:tabs>
              <w:spacing w:after="120"/>
              <w:rPr>
                <w:rFonts w:ascii="Arial" w:eastAsia="Arial Unicode MS" w:hAnsi="Arial" w:cs="Arial"/>
                <w:b/>
                <w:color w:val="000000"/>
                <w:sz w:val="20"/>
                <w:szCs w:val="20"/>
              </w:rPr>
            </w:pPr>
          </w:p>
        </w:tc>
        <w:tc>
          <w:tcPr>
            <w:tcW w:w="1345"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color w:val="000000"/>
                <w:sz w:val="20"/>
                <w:szCs w:val="20"/>
              </w:rPr>
            </w:pPr>
            <w:r w:rsidRPr="00960119">
              <w:rPr>
                <w:rFonts w:ascii="Arial" w:eastAsia="Arial Unicode MS" w:hAnsi="Arial" w:cs="Arial"/>
                <w:b/>
                <w:color w:val="000000"/>
                <w:sz w:val="20"/>
                <w:szCs w:val="20"/>
              </w:rPr>
              <w:t>736.4</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E7E6E6" w:themeFill="background2"/>
          </w:tcPr>
          <w:p w:rsidR="00725FBA" w:rsidRPr="00076CE1" w:rsidRDefault="00E56C9A" w:rsidP="00725FBA">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10.2%</w:t>
            </w:r>
          </w:p>
        </w:tc>
      </w:tr>
      <w:tr w:rsidR="00B368D6" w:rsidTr="00711753">
        <w:trPr>
          <w:trHeight w:val="431"/>
        </w:trPr>
        <w:tc>
          <w:tcPr>
            <w:tcW w:w="1347"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1C1335" w:rsidRPr="00076CE1" w:rsidRDefault="00E56C9A" w:rsidP="001C1335">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6,027.3</w:t>
            </w:r>
          </w:p>
        </w:tc>
        <w:tc>
          <w:tcPr>
            <w:tcW w:w="1349"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1C1335" w:rsidRPr="00076CE1" w:rsidRDefault="00E56C9A" w:rsidP="001C1335">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100.0%</w:t>
            </w:r>
          </w:p>
        </w:tc>
        <w:tc>
          <w:tcPr>
            <w:tcW w:w="1983"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1C1335" w:rsidRPr="00076CE1" w:rsidRDefault="00E56C9A" w:rsidP="001C1335">
            <w:pPr>
              <w:tabs>
                <w:tab w:val="left" w:pos="1455"/>
                <w:tab w:val="left" w:pos="5040"/>
                <w:tab w:val="left" w:pos="6885"/>
              </w:tabs>
              <w:spacing w:after="120"/>
              <w:rPr>
                <w:rFonts w:ascii="Arial" w:eastAsia="Arial Unicode MS" w:hAnsi="Arial" w:cs="Arial"/>
                <w:b/>
                <w:color w:val="000000"/>
                <w:sz w:val="20"/>
                <w:szCs w:val="20"/>
              </w:rPr>
            </w:pPr>
          </w:p>
        </w:tc>
        <w:tc>
          <w:tcPr>
            <w:tcW w:w="1345"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1C1335" w:rsidRPr="00076CE1" w:rsidRDefault="00E56C9A" w:rsidP="001C1335">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7,191.4</w:t>
            </w:r>
          </w:p>
        </w:tc>
        <w:tc>
          <w:tcPr>
            <w:tcW w:w="1349" w:type="dxa"/>
            <w:gridSpan w:val="2"/>
            <w:tcBorders>
              <w:top w:val="single" w:sz="4" w:space="0" w:color="008080"/>
              <w:left w:val="single" w:sz="4" w:space="0" w:color="008080"/>
              <w:bottom w:val="single" w:sz="4" w:space="0" w:color="008080"/>
              <w:right w:val="single" w:sz="4" w:space="0" w:color="008080"/>
            </w:tcBorders>
            <w:shd w:val="clear" w:color="auto" w:fill="E7E6E6" w:themeFill="background2"/>
          </w:tcPr>
          <w:p w:rsidR="001C1335" w:rsidRPr="00076CE1" w:rsidRDefault="00E56C9A" w:rsidP="001C1335">
            <w:pPr>
              <w:tabs>
                <w:tab w:val="left" w:pos="2160"/>
                <w:tab w:val="left" w:pos="6885"/>
              </w:tabs>
              <w:spacing w:after="6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100.0%</w:t>
            </w:r>
          </w:p>
        </w:tc>
      </w:tr>
    </w:tbl>
    <w:p w:rsidR="00DC78E9" w:rsidRPr="00076CE1" w:rsidRDefault="00E56C9A" w:rsidP="00DC78E9">
      <w:pPr>
        <w:rPr>
          <w:rFonts w:ascii="Arial" w:eastAsia="Arial Unicode MS" w:hAnsi="Arial" w:cs="Arial"/>
          <w:sz w:val="22"/>
        </w:rPr>
      </w:pPr>
    </w:p>
    <w:p w:rsidR="0077112B" w:rsidRPr="00076CE1" w:rsidRDefault="00E56C9A" w:rsidP="00DC78E9">
      <w:pPr>
        <w:rPr>
          <w:rFonts w:ascii="Arial" w:eastAsia="Arial Unicode MS" w:hAnsi="Arial" w:cs="Arial"/>
          <w:sz w:val="22"/>
        </w:rPr>
      </w:pPr>
    </w:p>
    <w:p w:rsidR="0077112B" w:rsidRPr="00076CE1" w:rsidRDefault="00E56C9A" w:rsidP="00DC78E9">
      <w:pPr>
        <w:rPr>
          <w:rFonts w:ascii="Arial" w:eastAsia="Arial Unicode MS" w:hAnsi="Arial" w:cs="Arial"/>
          <w:sz w:val="22"/>
        </w:rPr>
      </w:pPr>
    </w:p>
    <w:p w:rsidR="0077112B" w:rsidRPr="00076CE1" w:rsidRDefault="00E56C9A" w:rsidP="00DC78E9">
      <w:pPr>
        <w:rPr>
          <w:rFonts w:ascii="Arial" w:eastAsia="Arial Unicode MS" w:hAnsi="Arial" w:cs="Arial"/>
          <w:sz w:val="22"/>
        </w:rPr>
      </w:pPr>
    </w:p>
    <w:p w:rsidR="00DC78E9" w:rsidRPr="00076CE1" w:rsidRDefault="00E56C9A" w:rsidP="00DC78E9">
      <w:pPr>
        <w:rPr>
          <w:rFonts w:ascii="Arial" w:eastAsia="Arial Unicode MS" w:hAnsi="Arial" w:cs="Arial"/>
          <w:sz w:val="40"/>
        </w:rPr>
      </w:pPr>
    </w:p>
    <w:p w:rsidR="00DC78E9"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1C1335" w:rsidRDefault="00E56C9A" w:rsidP="00DC78E9">
      <w:pPr>
        <w:rPr>
          <w:rFonts w:ascii="Arial" w:eastAsia="Arial Unicode MS" w:hAnsi="Arial" w:cs="Arial"/>
          <w:sz w:val="22"/>
        </w:rPr>
      </w:pPr>
    </w:p>
    <w:p w:rsidR="0021537F" w:rsidRDefault="00E56C9A" w:rsidP="00DC78E9">
      <w:pPr>
        <w:rPr>
          <w:rFonts w:ascii="Arial" w:eastAsia="Arial Unicode MS" w:hAnsi="Arial" w:cs="Arial"/>
          <w:b/>
          <w:sz w:val="32"/>
          <w:szCs w:val="32"/>
        </w:rPr>
      </w:pPr>
    </w:p>
    <w:p w:rsidR="0021537F" w:rsidRDefault="00E56C9A" w:rsidP="00DC78E9">
      <w:pPr>
        <w:rPr>
          <w:rFonts w:ascii="Arial" w:eastAsia="Arial Unicode MS" w:hAnsi="Arial" w:cs="Arial"/>
          <w:b/>
          <w:sz w:val="32"/>
          <w:szCs w:val="32"/>
        </w:rPr>
      </w:pPr>
    </w:p>
    <w:p w:rsidR="00E56C9A" w:rsidRDefault="00E56C9A" w:rsidP="00DC78E9">
      <w:pPr>
        <w:rPr>
          <w:rFonts w:ascii="Arial" w:eastAsia="Arial Unicode MS" w:hAnsi="Arial" w:cs="Arial"/>
          <w:b/>
          <w:sz w:val="32"/>
          <w:szCs w:val="32"/>
        </w:rPr>
      </w:pPr>
    </w:p>
    <w:p w:rsidR="001C1335" w:rsidRPr="001C1335" w:rsidRDefault="00E56C9A" w:rsidP="00DC78E9">
      <w:pPr>
        <w:rPr>
          <w:rFonts w:ascii="Arial" w:eastAsia="Arial Unicode MS" w:hAnsi="Arial" w:cs="Arial"/>
          <w:b/>
          <w:sz w:val="32"/>
          <w:szCs w:val="32"/>
        </w:rPr>
      </w:pPr>
      <w:r w:rsidRPr="001C1335">
        <w:rPr>
          <w:rFonts w:ascii="Arial" w:eastAsia="Arial Unicode MS" w:hAnsi="Arial" w:cs="Arial"/>
          <w:b/>
          <w:sz w:val="32"/>
          <w:szCs w:val="32"/>
        </w:rPr>
        <w:t>Fixed interest securities</w:t>
      </w: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303FE">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31 March 2016</w:t>
            </w:r>
          </w:p>
        </w:tc>
        <w:tc>
          <w:tcPr>
            <w:tcW w:w="6221" w:type="dxa"/>
            <w:tcBorders>
              <w:bottom w:val="nil"/>
            </w:tcBorders>
            <w:shd w:val="clear" w:color="auto" w:fill="E7E6E6" w:themeFill="background2"/>
          </w:tcPr>
          <w:p w:rsidR="00DC78E9" w:rsidRPr="00076CE1" w:rsidRDefault="00E56C9A" w:rsidP="001303FE">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303FE">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31 March 2017</w:t>
            </w:r>
          </w:p>
        </w:tc>
      </w:tr>
      <w:tr w:rsidR="00B368D6" w:rsidTr="00105290">
        <w:trPr>
          <w:trHeight w:val="266"/>
        </w:trPr>
        <w:tc>
          <w:tcPr>
            <w:tcW w:w="1717" w:type="dxa"/>
            <w:shd w:val="clear" w:color="auto" w:fill="E7E6E6" w:themeFill="background2"/>
          </w:tcPr>
          <w:p w:rsidR="00DC78E9" w:rsidRPr="00076CE1" w:rsidRDefault="00E56C9A" w:rsidP="00AC2AD6">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AC2AD6">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20"/>
              </w:rPr>
              <w:t>85.3</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sz w:val="20"/>
                <w:szCs w:val="20"/>
              </w:rPr>
              <w:t>UK corporate bonds quoted</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20.9</w:t>
            </w:r>
          </w:p>
        </w:tc>
      </w:tr>
      <w:tr w:rsidR="00B368D6" w:rsidTr="00105290">
        <w:trPr>
          <w:trHeight w:val="431"/>
        </w:trPr>
        <w:tc>
          <w:tcPr>
            <w:tcW w:w="1717" w:type="dxa"/>
            <w:shd w:val="clear" w:color="auto" w:fill="auto"/>
          </w:tcPr>
          <w:p w:rsidR="002C0226" w:rsidRPr="00076CE1" w:rsidRDefault="00E56C9A" w:rsidP="00105290">
            <w:pPr>
              <w:tabs>
                <w:tab w:val="left" w:pos="2160"/>
                <w:tab w:val="left" w:pos="6885"/>
              </w:tabs>
              <w:spacing w:after="60"/>
              <w:jc w:val="right"/>
              <w:rPr>
                <w:rFonts w:ascii="Arial" w:eastAsia="Arial Unicode MS" w:hAnsi="Arial" w:cs="Arial"/>
                <w:sz w:val="20"/>
                <w:szCs w:val="20"/>
              </w:rPr>
            </w:pPr>
            <w:r w:rsidRPr="00076CE1">
              <w:rPr>
                <w:rFonts w:ascii="Arial" w:eastAsia="Arial Unicode MS" w:hAnsi="Arial" w:cs="Arial"/>
                <w:sz w:val="20"/>
                <w:szCs w:val="20"/>
              </w:rPr>
              <w:t>0.0</w:t>
            </w:r>
          </w:p>
        </w:tc>
        <w:tc>
          <w:tcPr>
            <w:tcW w:w="6221" w:type="dxa"/>
            <w:shd w:val="clear" w:color="auto" w:fill="auto"/>
          </w:tcPr>
          <w:p w:rsidR="002C0226" w:rsidRPr="00076CE1" w:rsidRDefault="00E56C9A" w:rsidP="00105290">
            <w:pPr>
              <w:tabs>
                <w:tab w:val="left" w:pos="1455"/>
                <w:tab w:val="left" w:pos="5040"/>
                <w:tab w:val="left" w:pos="6885"/>
              </w:tabs>
              <w:spacing w:after="120"/>
              <w:jc w:val="both"/>
              <w:rPr>
                <w:rFonts w:ascii="Arial" w:eastAsia="Arial Unicode MS" w:hAnsi="Arial" w:cs="Arial"/>
                <w:sz w:val="20"/>
                <w:szCs w:val="20"/>
              </w:rPr>
            </w:pPr>
            <w:r w:rsidRPr="00076CE1">
              <w:rPr>
                <w:rFonts w:ascii="Arial" w:eastAsia="Arial Unicode MS" w:hAnsi="Arial" w:cs="Arial"/>
                <w:sz w:val="20"/>
                <w:szCs w:val="20"/>
              </w:rPr>
              <w:t>Overseas public sector</w:t>
            </w:r>
          </w:p>
        </w:tc>
        <w:tc>
          <w:tcPr>
            <w:tcW w:w="1701" w:type="dxa"/>
            <w:shd w:val="clear" w:color="auto" w:fill="auto"/>
          </w:tcPr>
          <w:p w:rsidR="002C0226"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13.6</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20"/>
              </w:rPr>
              <w:t>37.8</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sz w:val="20"/>
                <w:szCs w:val="20"/>
              </w:rPr>
              <w:t>Overseas corporate bonds quoted</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97.7</w:t>
            </w:r>
          </w:p>
        </w:tc>
      </w:tr>
      <w:tr w:rsidR="00B368D6" w:rsidTr="00105290">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sz w:val="20"/>
                <w:szCs w:val="20"/>
              </w:rPr>
              <w:t>123.1</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132.2</w:t>
            </w:r>
          </w:p>
        </w:tc>
      </w:tr>
    </w:tbl>
    <w:p w:rsidR="00DC78E9" w:rsidRDefault="00E56C9A" w:rsidP="00DC78E9">
      <w:pPr>
        <w:rPr>
          <w:rFonts w:ascii="Arial" w:eastAsia="Arial Unicode MS" w:hAnsi="Arial" w:cs="Arial"/>
          <w:sz w:val="22"/>
        </w:rPr>
      </w:pPr>
    </w:p>
    <w:p w:rsidR="00E56C9A" w:rsidRPr="00076CE1" w:rsidRDefault="00E56C9A" w:rsidP="00DC78E9">
      <w:pPr>
        <w:rPr>
          <w:rFonts w:ascii="Arial" w:eastAsia="Arial Unicode MS" w:hAnsi="Arial" w:cs="Arial"/>
          <w:sz w:val="22"/>
        </w:rPr>
      </w:pPr>
    </w:p>
    <w:p w:rsidR="00DC78E9" w:rsidRPr="00076CE1" w:rsidRDefault="00E56C9A" w:rsidP="00DC78E9">
      <w:pPr>
        <w:rPr>
          <w:rFonts w:ascii="Arial" w:eastAsia="Arial Unicode MS" w:hAnsi="Arial" w:cs="Arial"/>
          <w:b/>
          <w:sz w:val="32"/>
          <w:szCs w:val="20"/>
        </w:rPr>
      </w:pPr>
      <w:r w:rsidRPr="00076CE1">
        <w:rPr>
          <w:rFonts w:ascii="Arial" w:eastAsia="Arial Unicode MS" w:hAnsi="Arial" w:cs="Arial"/>
          <w:b/>
          <w:sz w:val="32"/>
          <w:szCs w:val="20"/>
        </w:rPr>
        <w:t>Equities</w:t>
      </w: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303FE">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31 March 2016</w:t>
            </w:r>
          </w:p>
        </w:tc>
        <w:tc>
          <w:tcPr>
            <w:tcW w:w="6221" w:type="dxa"/>
            <w:tcBorders>
              <w:bottom w:val="nil"/>
            </w:tcBorders>
            <w:shd w:val="clear" w:color="auto" w:fill="E7E6E6" w:themeFill="background2"/>
          </w:tcPr>
          <w:p w:rsidR="00DC78E9" w:rsidRPr="00076CE1" w:rsidRDefault="00E56C9A" w:rsidP="001303FE">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303FE">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31 March 2017</w:t>
            </w:r>
          </w:p>
        </w:tc>
      </w:tr>
      <w:tr w:rsidR="00B368D6" w:rsidTr="00105290">
        <w:trPr>
          <w:trHeight w:val="266"/>
        </w:trPr>
        <w:tc>
          <w:tcPr>
            <w:tcW w:w="1717" w:type="dxa"/>
            <w:shd w:val="clear" w:color="auto" w:fill="E7E6E6" w:themeFill="background2"/>
          </w:tcPr>
          <w:p w:rsidR="00DC78E9" w:rsidRPr="00076CE1" w:rsidRDefault="00E56C9A" w:rsidP="00AC2AD6">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AC2AD6">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191.3</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UK quoted</w:t>
            </w:r>
          </w:p>
        </w:tc>
        <w:tc>
          <w:tcPr>
            <w:tcW w:w="1701" w:type="dxa"/>
            <w:shd w:val="clear" w:color="auto" w:fill="auto"/>
          </w:tcPr>
          <w:p w:rsidR="00CB4E9C" w:rsidRPr="00076CE1" w:rsidRDefault="00E56C9A" w:rsidP="00CB4E9C">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1,878.6</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Overseas quoted</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r>
      <w:tr w:rsidR="00B368D6" w:rsidTr="00105290">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0"/>
              </w:rPr>
              <w:t>2,069.9</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w:t>
            </w:r>
          </w:p>
        </w:tc>
      </w:tr>
    </w:tbl>
    <w:p w:rsidR="00CB4E9C" w:rsidRPr="00076CE1" w:rsidRDefault="00E56C9A" w:rsidP="00DC78E9">
      <w:pPr>
        <w:rPr>
          <w:rFonts w:ascii="Arial" w:eastAsia="Arial Unicode MS" w:hAnsi="Arial" w:cs="Arial"/>
          <w:sz w:val="22"/>
        </w:rPr>
      </w:pPr>
    </w:p>
    <w:p w:rsidR="00CB4E9C" w:rsidRDefault="00E56C9A" w:rsidP="00DC78E9">
      <w:pPr>
        <w:rPr>
          <w:rFonts w:ascii="Arial" w:eastAsia="Arial Unicode MS" w:hAnsi="Arial" w:cs="Arial"/>
          <w:sz w:val="22"/>
        </w:rPr>
      </w:pPr>
    </w:p>
    <w:p w:rsidR="00E56C9A" w:rsidRPr="00076CE1" w:rsidRDefault="00E56C9A" w:rsidP="00DC78E9">
      <w:pPr>
        <w:rPr>
          <w:rFonts w:ascii="Arial" w:eastAsia="Arial Unicode MS" w:hAnsi="Arial" w:cs="Arial"/>
          <w:sz w:val="22"/>
        </w:rPr>
      </w:pPr>
    </w:p>
    <w:p w:rsidR="00DC78E9" w:rsidRPr="00076CE1" w:rsidRDefault="00E56C9A" w:rsidP="00DC78E9">
      <w:pPr>
        <w:rPr>
          <w:rFonts w:ascii="Arial" w:eastAsia="Arial Unicode MS" w:hAnsi="Arial" w:cs="Arial"/>
          <w:b/>
          <w:sz w:val="32"/>
          <w:szCs w:val="20"/>
        </w:rPr>
      </w:pPr>
      <w:r w:rsidRPr="00076CE1">
        <w:rPr>
          <w:rFonts w:ascii="Arial" w:eastAsia="Arial Unicode MS" w:hAnsi="Arial" w:cs="Arial"/>
          <w:b/>
          <w:sz w:val="32"/>
          <w:szCs w:val="20"/>
        </w:rPr>
        <w:t>Index linked securities</w:t>
      </w: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303FE">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31 March 2016</w:t>
            </w:r>
          </w:p>
        </w:tc>
        <w:tc>
          <w:tcPr>
            <w:tcW w:w="6221" w:type="dxa"/>
            <w:tcBorders>
              <w:bottom w:val="nil"/>
            </w:tcBorders>
            <w:shd w:val="clear" w:color="auto" w:fill="E7E6E6" w:themeFill="background2"/>
          </w:tcPr>
          <w:p w:rsidR="00DC78E9" w:rsidRPr="00076CE1" w:rsidRDefault="00E56C9A" w:rsidP="001303FE">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303FE">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31 March 2017</w:t>
            </w:r>
          </w:p>
        </w:tc>
      </w:tr>
      <w:tr w:rsidR="00B368D6" w:rsidTr="00105290">
        <w:trPr>
          <w:trHeight w:val="266"/>
        </w:trPr>
        <w:tc>
          <w:tcPr>
            <w:tcW w:w="1717" w:type="dxa"/>
            <w:shd w:val="clear" w:color="auto" w:fill="E7E6E6" w:themeFill="background2"/>
          </w:tcPr>
          <w:p w:rsidR="00DC78E9" w:rsidRPr="00076CE1" w:rsidRDefault="00E56C9A" w:rsidP="00AC2AD6">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AC2AD6">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lastRenderedPageBreak/>
              <w:t>63.7</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UK quoted</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127.1</w:t>
            </w:r>
          </w:p>
        </w:tc>
      </w:tr>
      <w:tr w:rsidR="00B368D6" w:rsidTr="00105290">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0"/>
              </w:rPr>
              <w:t>63.7</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127.1</w:t>
            </w:r>
          </w:p>
        </w:tc>
      </w:tr>
    </w:tbl>
    <w:p w:rsidR="0077112B" w:rsidRPr="00076CE1" w:rsidRDefault="00E56C9A" w:rsidP="0077112B">
      <w:pPr>
        <w:rPr>
          <w:rFonts w:ascii="Arial" w:eastAsia="Arial Unicode MS" w:hAnsi="Arial" w:cs="Arial"/>
          <w:b/>
          <w:sz w:val="32"/>
          <w:szCs w:val="20"/>
        </w:rPr>
      </w:pPr>
    </w:p>
    <w:p w:rsidR="0077112B" w:rsidRPr="00076CE1" w:rsidRDefault="00E56C9A" w:rsidP="0077112B">
      <w:pPr>
        <w:rPr>
          <w:rFonts w:ascii="Arial" w:eastAsia="Arial Unicode MS" w:hAnsi="Arial" w:cs="Arial"/>
          <w:b/>
          <w:sz w:val="32"/>
          <w:szCs w:val="20"/>
        </w:rPr>
      </w:pPr>
      <w:r w:rsidRPr="00076CE1">
        <w:rPr>
          <w:rFonts w:ascii="Arial" w:eastAsia="Arial Unicode MS" w:hAnsi="Arial" w:cs="Arial"/>
          <w:b/>
          <w:sz w:val="32"/>
          <w:szCs w:val="20"/>
        </w:rPr>
        <w:t>Direct property investments</w:t>
      </w: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77112B">
        <w:trPr>
          <w:trHeight w:val="266"/>
        </w:trPr>
        <w:tc>
          <w:tcPr>
            <w:tcW w:w="1717" w:type="dxa"/>
            <w:shd w:val="clear" w:color="auto" w:fill="E7E6E6" w:themeFill="background2"/>
          </w:tcPr>
          <w:p w:rsidR="0077112B" w:rsidRPr="00076CE1" w:rsidRDefault="00E56C9A" w:rsidP="001303FE">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31 March 2016</w:t>
            </w:r>
          </w:p>
        </w:tc>
        <w:tc>
          <w:tcPr>
            <w:tcW w:w="6221" w:type="dxa"/>
            <w:tcBorders>
              <w:bottom w:val="nil"/>
            </w:tcBorders>
            <w:shd w:val="clear" w:color="auto" w:fill="E7E6E6" w:themeFill="background2"/>
          </w:tcPr>
          <w:p w:rsidR="0077112B" w:rsidRPr="00076CE1" w:rsidRDefault="00E56C9A" w:rsidP="001303FE">
            <w:pPr>
              <w:jc w:val="right"/>
              <w:rPr>
                <w:rFonts w:ascii="Arial" w:eastAsia="Arial Unicode MS" w:hAnsi="Arial" w:cs="Arial"/>
                <w:b/>
                <w:sz w:val="20"/>
                <w:szCs w:val="18"/>
              </w:rPr>
            </w:pPr>
          </w:p>
        </w:tc>
        <w:tc>
          <w:tcPr>
            <w:tcW w:w="1701" w:type="dxa"/>
            <w:shd w:val="clear" w:color="auto" w:fill="E7E6E6" w:themeFill="background2"/>
          </w:tcPr>
          <w:p w:rsidR="0077112B" w:rsidRPr="00076CE1" w:rsidRDefault="00E56C9A" w:rsidP="001303FE">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31 March 2017</w:t>
            </w:r>
          </w:p>
        </w:tc>
      </w:tr>
      <w:tr w:rsidR="00B368D6" w:rsidTr="0077112B">
        <w:trPr>
          <w:trHeight w:val="266"/>
        </w:trPr>
        <w:tc>
          <w:tcPr>
            <w:tcW w:w="1717" w:type="dxa"/>
            <w:shd w:val="clear" w:color="auto" w:fill="E7E6E6" w:themeFill="background2"/>
          </w:tcPr>
          <w:p w:rsidR="0077112B" w:rsidRPr="00076CE1" w:rsidRDefault="00E56C9A" w:rsidP="0077112B">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77112B" w:rsidRPr="00076CE1" w:rsidRDefault="00E56C9A" w:rsidP="0077112B">
            <w:pPr>
              <w:jc w:val="right"/>
              <w:rPr>
                <w:rFonts w:ascii="Arial" w:eastAsia="Arial Unicode MS" w:hAnsi="Arial" w:cs="Arial"/>
                <w:b/>
                <w:sz w:val="20"/>
                <w:szCs w:val="18"/>
              </w:rPr>
            </w:pPr>
          </w:p>
        </w:tc>
        <w:tc>
          <w:tcPr>
            <w:tcW w:w="1701" w:type="dxa"/>
            <w:shd w:val="clear" w:color="auto" w:fill="E7E6E6" w:themeFill="background2"/>
          </w:tcPr>
          <w:p w:rsidR="0077112B" w:rsidRPr="00076CE1" w:rsidRDefault="00E56C9A" w:rsidP="0077112B">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77112B">
        <w:trPr>
          <w:trHeight w:val="431"/>
        </w:trPr>
        <w:tc>
          <w:tcPr>
            <w:tcW w:w="1717" w:type="dxa"/>
            <w:shd w:val="clear" w:color="auto" w:fill="auto"/>
          </w:tcPr>
          <w:p w:rsidR="0077112B" w:rsidRPr="00076CE1" w:rsidRDefault="00E56C9A" w:rsidP="0077112B">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515.7</w:t>
            </w:r>
          </w:p>
        </w:tc>
        <w:tc>
          <w:tcPr>
            <w:tcW w:w="6221" w:type="dxa"/>
            <w:shd w:val="clear" w:color="auto" w:fill="auto"/>
          </w:tcPr>
          <w:p w:rsidR="0077112B" w:rsidRPr="00076CE1" w:rsidRDefault="00E56C9A" w:rsidP="0077112B">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UK – freehold</w:t>
            </w:r>
          </w:p>
        </w:tc>
        <w:tc>
          <w:tcPr>
            <w:tcW w:w="1701" w:type="dxa"/>
            <w:shd w:val="clear" w:color="auto" w:fill="auto"/>
          </w:tcPr>
          <w:p w:rsidR="0077112B" w:rsidRPr="00076CE1" w:rsidRDefault="00E56C9A" w:rsidP="0077112B">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538.8</w:t>
            </w:r>
          </w:p>
        </w:tc>
      </w:tr>
      <w:tr w:rsidR="00B368D6" w:rsidTr="0077112B">
        <w:trPr>
          <w:trHeight w:val="431"/>
        </w:trPr>
        <w:tc>
          <w:tcPr>
            <w:tcW w:w="1717" w:type="dxa"/>
            <w:shd w:val="clear" w:color="auto" w:fill="auto"/>
          </w:tcPr>
          <w:p w:rsidR="0077112B" w:rsidRPr="00076CE1" w:rsidRDefault="00E56C9A" w:rsidP="0077112B">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92.4</w:t>
            </w:r>
          </w:p>
        </w:tc>
        <w:tc>
          <w:tcPr>
            <w:tcW w:w="6221" w:type="dxa"/>
            <w:shd w:val="clear" w:color="auto" w:fill="auto"/>
          </w:tcPr>
          <w:p w:rsidR="0077112B" w:rsidRPr="00076CE1" w:rsidRDefault="00E56C9A" w:rsidP="0077112B">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UK – long leasehold</w:t>
            </w:r>
          </w:p>
        </w:tc>
        <w:tc>
          <w:tcPr>
            <w:tcW w:w="1701" w:type="dxa"/>
            <w:shd w:val="clear" w:color="auto" w:fill="auto"/>
          </w:tcPr>
          <w:p w:rsidR="0077112B" w:rsidRPr="00076CE1" w:rsidRDefault="00E56C9A" w:rsidP="0077112B">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98.2</w:t>
            </w:r>
          </w:p>
        </w:tc>
      </w:tr>
      <w:tr w:rsidR="00B368D6" w:rsidTr="0077112B">
        <w:trPr>
          <w:trHeight w:val="431"/>
        </w:trPr>
        <w:tc>
          <w:tcPr>
            <w:tcW w:w="1717" w:type="dxa"/>
            <w:shd w:val="clear" w:color="auto" w:fill="E7E6E6" w:themeFill="background2"/>
          </w:tcPr>
          <w:p w:rsidR="0077112B" w:rsidRPr="00076CE1" w:rsidRDefault="00E56C9A" w:rsidP="0077112B">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0"/>
              </w:rPr>
              <w:t>608.1</w:t>
            </w:r>
          </w:p>
        </w:tc>
        <w:tc>
          <w:tcPr>
            <w:tcW w:w="6221" w:type="dxa"/>
            <w:shd w:val="clear" w:color="auto" w:fill="E7E6E6" w:themeFill="background2"/>
          </w:tcPr>
          <w:p w:rsidR="0077112B" w:rsidRPr="00076CE1" w:rsidRDefault="00E56C9A" w:rsidP="0077112B">
            <w:pPr>
              <w:tabs>
                <w:tab w:val="left" w:pos="1455"/>
                <w:tab w:val="left" w:pos="5040"/>
                <w:tab w:val="left" w:pos="6885"/>
              </w:tabs>
              <w:spacing w:after="120"/>
              <w:jc w:val="both"/>
              <w:rPr>
                <w:rFonts w:ascii="Arial" w:eastAsia="Arial Unicode MS" w:hAnsi="Arial" w:cs="Arial"/>
                <w:sz w:val="20"/>
                <w:szCs w:val="18"/>
              </w:rPr>
            </w:pPr>
          </w:p>
        </w:tc>
        <w:tc>
          <w:tcPr>
            <w:tcW w:w="1701" w:type="dxa"/>
            <w:shd w:val="clear" w:color="auto" w:fill="E7E6E6" w:themeFill="background2"/>
          </w:tcPr>
          <w:p w:rsidR="0077112B" w:rsidRPr="00076CE1" w:rsidRDefault="00E56C9A" w:rsidP="0077112B">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637.0</w:t>
            </w:r>
          </w:p>
        </w:tc>
      </w:tr>
    </w:tbl>
    <w:p w:rsidR="00DC78E9" w:rsidRPr="00076CE1" w:rsidRDefault="00E56C9A" w:rsidP="00DC78E9">
      <w:pPr>
        <w:rPr>
          <w:rFonts w:ascii="Arial" w:eastAsia="Arial Unicode MS" w:hAnsi="Arial" w:cs="Arial"/>
          <w:b/>
          <w:sz w:val="28"/>
          <w:szCs w:val="20"/>
        </w:rPr>
      </w:pPr>
    </w:p>
    <w:p w:rsidR="003A02F4" w:rsidRPr="00076CE1" w:rsidRDefault="00E56C9A" w:rsidP="00DC78E9">
      <w:pPr>
        <w:rPr>
          <w:rFonts w:ascii="Arial" w:eastAsia="Arial Unicode MS" w:hAnsi="Arial" w:cs="Arial"/>
          <w:b/>
          <w:sz w:val="28"/>
          <w:szCs w:val="20"/>
        </w:rPr>
      </w:pPr>
    </w:p>
    <w:p w:rsidR="00DC78E9" w:rsidRPr="00076CE1" w:rsidRDefault="00E56C9A" w:rsidP="00DC78E9">
      <w:pPr>
        <w:rPr>
          <w:rFonts w:ascii="Arial" w:eastAsia="Arial Unicode MS" w:hAnsi="Arial" w:cs="Arial"/>
          <w:b/>
          <w:sz w:val="32"/>
          <w:szCs w:val="20"/>
        </w:rPr>
      </w:pPr>
      <w:r w:rsidRPr="00076CE1">
        <w:rPr>
          <w:rFonts w:ascii="Arial" w:eastAsia="Arial Unicode MS" w:hAnsi="Arial" w:cs="Arial"/>
          <w:b/>
          <w:sz w:val="32"/>
          <w:szCs w:val="20"/>
        </w:rPr>
        <w:t>Pooled investment vehicles</w:t>
      </w: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303FE">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31 March 2016</w:t>
            </w:r>
          </w:p>
        </w:tc>
        <w:tc>
          <w:tcPr>
            <w:tcW w:w="6221" w:type="dxa"/>
            <w:shd w:val="clear" w:color="auto" w:fill="E7E6E6" w:themeFill="background2"/>
          </w:tcPr>
          <w:p w:rsidR="00DC78E9" w:rsidRPr="00076CE1" w:rsidRDefault="00E56C9A" w:rsidP="001303FE">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303FE">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31 March 2017</w:t>
            </w:r>
          </w:p>
        </w:tc>
      </w:tr>
      <w:tr w:rsidR="00B368D6" w:rsidTr="00105290">
        <w:trPr>
          <w:trHeight w:val="266"/>
        </w:trPr>
        <w:tc>
          <w:tcPr>
            <w:tcW w:w="1717" w:type="dxa"/>
            <w:shd w:val="clear" w:color="auto" w:fill="E7E6E6" w:themeFill="background2"/>
          </w:tcPr>
          <w:p w:rsidR="00DC78E9" w:rsidRPr="00076CE1" w:rsidRDefault="00E56C9A" w:rsidP="00AC2AD6">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shd w:val="clear" w:color="auto" w:fill="E7E6E6" w:themeFill="background2"/>
          </w:tcPr>
          <w:p w:rsidR="00DC78E9" w:rsidRPr="00076CE1" w:rsidRDefault="00E56C9A" w:rsidP="00105290">
            <w:pPr>
              <w:rPr>
                <w:rFonts w:ascii="Arial" w:eastAsia="Arial Unicode MS" w:hAnsi="Arial" w:cs="Arial"/>
                <w:b/>
                <w:sz w:val="20"/>
                <w:szCs w:val="18"/>
              </w:rPr>
            </w:pPr>
            <w:r w:rsidRPr="00076CE1">
              <w:rPr>
                <w:rFonts w:ascii="Arial" w:eastAsia="Arial Unicode MS" w:hAnsi="Arial" w:cs="Arial"/>
                <w:b/>
                <w:color w:val="000000"/>
                <w:sz w:val="20"/>
                <w:szCs w:val="20"/>
              </w:rPr>
              <w:t>UK managed funds:</w:t>
            </w:r>
          </w:p>
        </w:tc>
        <w:tc>
          <w:tcPr>
            <w:tcW w:w="1701"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60.0</w:t>
            </w:r>
          </w:p>
        </w:tc>
        <w:tc>
          <w:tcPr>
            <w:tcW w:w="6221" w:type="dxa"/>
            <w:shd w:val="clear" w:color="auto" w:fill="auto"/>
          </w:tcPr>
          <w:p w:rsidR="00DC78E9" w:rsidRPr="00975661" w:rsidRDefault="00E56C9A" w:rsidP="00105290">
            <w:pPr>
              <w:tabs>
                <w:tab w:val="left" w:pos="1455"/>
                <w:tab w:val="left" w:pos="5040"/>
                <w:tab w:val="left" w:pos="6885"/>
              </w:tabs>
              <w:spacing w:after="120"/>
              <w:jc w:val="both"/>
              <w:rPr>
                <w:rFonts w:ascii="Arial" w:eastAsia="Arial Unicode MS" w:hAnsi="Arial" w:cs="Arial"/>
                <w:sz w:val="20"/>
                <w:szCs w:val="18"/>
              </w:rPr>
            </w:pPr>
            <w:r w:rsidRPr="00975661">
              <w:rPr>
                <w:rFonts w:ascii="Arial" w:eastAsia="Arial Unicode MS" w:hAnsi="Arial" w:cs="Arial"/>
                <w:color w:val="000000"/>
                <w:sz w:val="20"/>
                <w:szCs w:val="20"/>
              </w:rPr>
              <w:t>Fixed income funds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71.5</w:t>
            </w:r>
          </w:p>
        </w:tc>
      </w:tr>
      <w:tr w:rsidR="00B368D6" w:rsidTr="0057587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color w:val="000000"/>
                <w:sz w:val="20"/>
                <w:szCs w:val="20"/>
              </w:rPr>
              <w:t>88.6</w:t>
            </w:r>
          </w:p>
        </w:tc>
        <w:tc>
          <w:tcPr>
            <w:tcW w:w="6221" w:type="dxa"/>
            <w:shd w:val="clear" w:color="auto" w:fill="auto"/>
          </w:tcPr>
          <w:p w:rsidR="00DC78E9" w:rsidRPr="00975661" w:rsidRDefault="00E56C9A" w:rsidP="00105290">
            <w:pPr>
              <w:tabs>
                <w:tab w:val="left" w:pos="1455"/>
                <w:tab w:val="left" w:pos="5040"/>
                <w:tab w:val="left" w:pos="6885"/>
              </w:tabs>
              <w:spacing w:after="120"/>
              <w:jc w:val="both"/>
              <w:rPr>
                <w:rFonts w:ascii="Arial" w:eastAsia="Arial Unicode MS" w:hAnsi="Arial" w:cs="Arial"/>
                <w:sz w:val="20"/>
                <w:szCs w:val="18"/>
              </w:rPr>
            </w:pPr>
            <w:r w:rsidRPr="00975661">
              <w:rPr>
                <w:rFonts w:ascii="Arial" w:eastAsia="Arial Unicode MS" w:hAnsi="Arial" w:cs="Arial"/>
                <w:color w:val="000000"/>
                <w:sz w:val="20"/>
                <w:szCs w:val="20"/>
              </w:rPr>
              <w:t>Private equity</w:t>
            </w:r>
          </w:p>
        </w:tc>
        <w:tc>
          <w:tcPr>
            <w:tcW w:w="1701" w:type="dxa"/>
            <w:shd w:val="clear" w:color="auto" w:fill="auto"/>
          </w:tcPr>
          <w:p w:rsidR="00DC78E9" w:rsidRPr="00076CE1" w:rsidRDefault="00E56C9A" w:rsidP="00975661">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79.5</w:t>
            </w:r>
          </w:p>
        </w:tc>
      </w:tr>
      <w:tr w:rsidR="00B368D6" w:rsidTr="00575870">
        <w:trPr>
          <w:trHeight w:val="431"/>
        </w:trPr>
        <w:tc>
          <w:tcPr>
            <w:tcW w:w="1717" w:type="dxa"/>
            <w:shd w:val="clear" w:color="auto" w:fill="auto"/>
          </w:tcPr>
          <w:p w:rsidR="00975661" w:rsidRPr="00076CE1" w:rsidRDefault="00E56C9A" w:rsidP="00105290">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107.7</w:t>
            </w:r>
          </w:p>
        </w:tc>
        <w:tc>
          <w:tcPr>
            <w:tcW w:w="6221" w:type="dxa"/>
            <w:shd w:val="clear" w:color="auto" w:fill="auto"/>
          </w:tcPr>
          <w:p w:rsidR="00975661" w:rsidRPr="00975661" w:rsidRDefault="00E56C9A" w:rsidP="00105290">
            <w:pPr>
              <w:tabs>
                <w:tab w:val="left" w:pos="1455"/>
                <w:tab w:val="left" w:pos="5040"/>
                <w:tab w:val="left" w:pos="6885"/>
              </w:tabs>
              <w:spacing w:after="120"/>
              <w:jc w:val="both"/>
              <w:rPr>
                <w:rFonts w:ascii="Arial" w:eastAsia="Arial Unicode MS" w:hAnsi="Arial" w:cs="Arial"/>
                <w:color w:val="000000"/>
                <w:sz w:val="20"/>
                <w:szCs w:val="20"/>
              </w:rPr>
            </w:pPr>
            <w:r w:rsidRPr="00975661">
              <w:rPr>
                <w:rFonts w:ascii="Arial" w:eastAsia="Arial Unicode MS" w:hAnsi="Arial" w:cs="Arial"/>
                <w:color w:val="000000"/>
                <w:sz w:val="20"/>
                <w:szCs w:val="20"/>
              </w:rPr>
              <w:t>Infrastructure</w:t>
            </w:r>
          </w:p>
        </w:tc>
        <w:tc>
          <w:tcPr>
            <w:tcW w:w="1701" w:type="dxa"/>
            <w:shd w:val="clear" w:color="auto" w:fill="auto"/>
          </w:tcPr>
          <w:p w:rsidR="00975661"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136.1</w:t>
            </w:r>
          </w:p>
        </w:tc>
      </w:tr>
      <w:tr w:rsidR="00B368D6" w:rsidTr="00575870">
        <w:trPr>
          <w:trHeight w:val="431"/>
        </w:trPr>
        <w:tc>
          <w:tcPr>
            <w:tcW w:w="1717" w:type="dxa"/>
            <w:shd w:val="clear" w:color="auto" w:fill="auto"/>
          </w:tcPr>
          <w:p w:rsidR="00975661" w:rsidRPr="00076CE1" w:rsidRDefault="00E56C9A" w:rsidP="00105290">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173.1</w:t>
            </w:r>
          </w:p>
        </w:tc>
        <w:tc>
          <w:tcPr>
            <w:tcW w:w="6221" w:type="dxa"/>
            <w:shd w:val="clear" w:color="auto" w:fill="auto"/>
          </w:tcPr>
          <w:p w:rsidR="00975661" w:rsidRPr="00975661" w:rsidRDefault="00E56C9A" w:rsidP="00105290">
            <w:pPr>
              <w:tabs>
                <w:tab w:val="left" w:pos="1455"/>
                <w:tab w:val="left" w:pos="5040"/>
                <w:tab w:val="left" w:pos="6885"/>
              </w:tabs>
              <w:spacing w:after="120"/>
              <w:jc w:val="both"/>
              <w:rPr>
                <w:rFonts w:ascii="Arial" w:eastAsia="Arial Unicode MS" w:hAnsi="Arial" w:cs="Arial"/>
                <w:color w:val="000000"/>
                <w:sz w:val="20"/>
                <w:szCs w:val="20"/>
              </w:rPr>
            </w:pPr>
            <w:r w:rsidRPr="00975661">
              <w:rPr>
                <w:rFonts w:ascii="Arial" w:eastAsia="Arial Unicode MS" w:hAnsi="Arial" w:cs="Arial"/>
                <w:color w:val="000000"/>
                <w:sz w:val="20"/>
                <w:szCs w:val="20"/>
              </w:rPr>
              <w:t>Long term credit investments</w:t>
            </w:r>
          </w:p>
        </w:tc>
        <w:tc>
          <w:tcPr>
            <w:tcW w:w="1701" w:type="dxa"/>
            <w:shd w:val="clear" w:color="auto" w:fill="auto"/>
          </w:tcPr>
          <w:p w:rsidR="00975661"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189.6</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44.5</w:t>
            </w:r>
          </w:p>
        </w:tc>
        <w:tc>
          <w:tcPr>
            <w:tcW w:w="6221" w:type="dxa"/>
            <w:shd w:val="clear" w:color="auto" w:fill="auto"/>
          </w:tcPr>
          <w:p w:rsidR="00DC78E9" w:rsidRPr="00975661" w:rsidRDefault="00E56C9A" w:rsidP="00105290">
            <w:pPr>
              <w:tabs>
                <w:tab w:val="left" w:pos="1455"/>
                <w:tab w:val="left" w:pos="5040"/>
                <w:tab w:val="left" w:pos="6885"/>
              </w:tabs>
              <w:spacing w:after="120"/>
              <w:jc w:val="both"/>
              <w:rPr>
                <w:rFonts w:ascii="Arial" w:eastAsia="Arial Unicode MS" w:hAnsi="Arial" w:cs="Arial"/>
                <w:sz w:val="20"/>
                <w:szCs w:val="18"/>
              </w:rPr>
            </w:pPr>
            <w:r w:rsidRPr="00975661">
              <w:rPr>
                <w:rFonts w:ascii="Arial" w:eastAsia="Arial Unicode MS" w:hAnsi="Arial" w:cs="Arial"/>
                <w:color w:val="000000"/>
                <w:sz w:val="20"/>
                <w:szCs w:val="20"/>
              </w:rPr>
              <w:t>Property funds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58.3</w:t>
            </w:r>
          </w:p>
        </w:tc>
      </w:tr>
      <w:tr w:rsidR="00B368D6" w:rsidTr="00105290">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b/>
                <w:color w:val="000000"/>
                <w:sz w:val="20"/>
                <w:szCs w:val="20"/>
              </w:rPr>
              <w:t>Overseas managed funds:</w:t>
            </w: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p>
        </w:tc>
      </w:tr>
      <w:tr w:rsidR="00B368D6" w:rsidTr="00575870">
        <w:trPr>
          <w:trHeight w:val="327"/>
        </w:trPr>
        <w:tc>
          <w:tcPr>
            <w:tcW w:w="1717" w:type="dxa"/>
            <w:shd w:val="clear" w:color="auto" w:fill="auto"/>
          </w:tcPr>
          <w:p w:rsidR="00975661" w:rsidRPr="00076CE1" w:rsidRDefault="00E56C9A" w:rsidP="00975661">
            <w:pPr>
              <w:tabs>
                <w:tab w:val="left" w:pos="2160"/>
                <w:tab w:val="left" w:pos="6885"/>
              </w:tabs>
              <w:spacing w:after="6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1,097.3</w:t>
            </w:r>
          </w:p>
        </w:tc>
        <w:tc>
          <w:tcPr>
            <w:tcW w:w="6221" w:type="dxa"/>
            <w:shd w:val="clear" w:color="auto" w:fill="auto"/>
          </w:tcPr>
          <w:p w:rsidR="00975661" w:rsidRPr="00975661" w:rsidRDefault="00E56C9A" w:rsidP="00975661">
            <w:pPr>
              <w:tabs>
                <w:tab w:val="left" w:pos="1455"/>
                <w:tab w:val="left" w:pos="5040"/>
                <w:tab w:val="left" w:pos="6885"/>
              </w:tabs>
              <w:spacing w:after="120"/>
              <w:jc w:val="both"/>
              <w:rPr>
                <w:rFonts w:ascii="Arial" w:eastAsia="Arial Unicode MS" w:hAnsi="Arial" w:cs="Arial"/>
                <w:color w:val="000000"/>
                <w:sz w:val="20"/>
                <w:szCs w:val="20"/>
              </w:rPr>
            </w:pPr>
            <w:r w:rsidRPr="00975661">
              <w:rPr>
                <w:rFonts w:ascii="Arial" w:eastAsia="Arial Unicode MS" w:hAnsi="Arial" w:cs="Arial"/>
                <w:color w:val="000000"/>
                <w:sz w:val="20"/>
                <w:szCs w:val="20"/>
              </w:rPr>
              <w:t>Fixed income funds</w:t>
            </w:r>
          </w:p>
        </w:tc>
        <w:tc>
          <w:tcPr>
            <w:tcW w:w="1701" w:type="dxa"/>
            <w:shd w:val="clear" w:color="auto" w:fill="auto"/>
          </w:tcPr>
          <w:p w:rsidR="00975661" w:rsidRPr="00076CE1" w:rsidRDefault="00E56C9A" w:rsidP="00975661">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1,125.1</w:t>
            </w:r>
          </w:p>
        </w:tc>
      </w:tr>
      <w:tr w:rsidR="00B368D6" w:rsidTr="00575870">
        <w:trPr>
          <w:trHeight w:val="431"/>
        </w:trPr>
        <w:tc>
          <w:tcPr>
            <w:tcW w:w="1717" w:type="dxa"/>
            <w:shd w:val="clear" w:color="auto" w:fill="auto"/>
          </w:tcPr>
          <w:p w:rsidR="00975661" w:rsidRPr="00076CE1" w:rsidRDefault="00E56C9A" w:rsidP="00975661">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259.6</w:t>
            </w:r>
          </w:p>
        </w:tc>
        <w:tc>
          <w:tcPr>
            <w:tcW w:w="6221" w:type="dxa"/>
            <w:shd w:val="clear" w:color="auto" w:fill="auto"/>
          </w:tcPr>
          <w:p w:rsidR="00975661" w:rsidRPr="00975661" w:rsidRDefault="00E56C9A" w:rsidP="00975661">
            <w:pPr>
              <w:tabs>
                <w:tab w:val="left" w:pos="1455"/>
                <w:tab w:val="left" w:pos="5040"/>
                <w:tab w:val="left" w:pos="6885"/>
              </w:tabs>
              <w:spacing w:after="120"/>
              <w:jc w:val="both"/>
              <w:rPr>
                <w:rFonts w:ascii="Arial" w:eastAsia="Arial Unicode MS" w:hAnsi="Arial" w:cs="Arial"/>
                <w:color w:val="000000"/>
                <w:sz w:val="20"/>
                <w:szCs w:val="20"/>
              </w:rPr>
            </w:pPr>
            <w:r w:rsidRPr="00975661">
              <w:rPr>
                <w:rFonts w:ascii="Arial" w:eastAsia="Arial Unicode MS" w:hAnsi="Arial" w:cs="Arial"/>
                <w:color w:val="000000"/>
                <w:sz w:val="20"/>
                <w:szCs w:val="20"/>
              </w:rPr>
              <w:t>Private equity</w:t>
            </w:r>
          </w:p>
        </w:tc>
        <w:tc>
          <w:tcPr>
            <w:tcW w:w="1701" w:type="dxa"/>
            <w:shd w:val="clear" w:color="auto" w:fill="auto"/>
          </w:tcPr>
          <w:p w:rsidR="00975661" w:rsidRPr="00076CE1" w:rsidRDefault="00E56C9A" w:rsidP="00975661">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401.4</w:t>
            </w:r>
          </w:p>
        </w:tc>
      </w:tr>
      <w:tr w:rsidR="00B368D6" w:rsidTr="00575870">
        <w:trPr>
          <w:trHeight w:val="431"/>
        </w:trPr>
        <w:tc>
          <w:tcPr>
            <w:tcW w:w="1717" w:type="dxa"/>
            <w:shd w:val="clear" w:color="auto" w:fill="auto"/>
          </w:tcPr>
          <w:p w:rsidR="00975661" w:rsidRPr="00076CE1" w:rsidRDefault="00E56C9A" w:rsidP="00975661">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461.8</w:t>
            </w:r>
          </w:p>
        </w:tc>
        <w:tc>
          <w:tcPr>
            <w:tcW w:w="6221" w:type="dxa"/>
            <w:shd w:val="clear" w:color="auto" w:fill="auto"/>
          </w:tcPr>
          <w:p w:rsidR="00975661" w:rsidRPr="00975661" w:rsidRDefault="00E56C9A" w:rsidP="00975661">
            <w:pPr>
              <w:tabs>
                <w:tab w:val="left" w:pos="1455"/>
                <w:tab w:val="left" w:pos="5040"/>
                <w:tab w:val="left" w:pos="6885"/>
              </w:tabs>
              <w:spacing w:after="120"/>
              <w:jc w:val="both"/>
              <w:rPr>
                <w:rFonts w:ascii="Arial" w:eastAsia="Arial Unicode MS" w:hAnsi="Arial" w:cs="Arial"/>
                <w:color w:val="000000"/>
                <w:sz w:val="20"/>
                <w:szCs w:val="20"/>
              </w:rPr>
            </w:pPr>
            <w:r w:rsidRPr="00975661">
              <w:rPr>
                <w:rFonts w:ascii="Arial" w:eastAsia="Arial Unicode MS" w:hAnsi="Arial" w:cs="Arial"/>
                <w:color w:val="000000"/>
                <w:sz w:val="20"/>
                <w:szCs w:val="20"/>
              </w:rPr>
              <w:t>Infrastructure</w:t>
            </w:r>
          </w:p>
        </w:tc>
        <w:tc>
          <w:tcPr>
            <w:tcW w:w="1701" w:type="dxa"/>
            <w:shd w:val="clear" w:color="auto" w:fill="auto"/>
          </w:tcPr>
          <w:p w:rsidR="00975661" w:rsidRPr="00076CE1" w:rsidRDefault="00E56C9A" w:rsidP="00975661">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761.8</w:t>
            </w:r>
          </w:p>
        </w:tc>
      </w:tr>
      <w:tr w:rsidR="00B368D6" w:rsidTr="00575870">
        <w:trPr>
          <w:trHeight w:val="431"/>
        </w:trPr>
        <w:tc>
          <w:tcPr>
            <w:tcW w:w="1717" w:type="dxa"/>
            <w:shd w:val="clear" w:color="auto" w:fill="auto"/>
          </w:tcPr>
          <w:p w:rsidR="00975661" w:rsidRPr="00076CE1" w:rsidRDefault="00E56C9A" w:rsidP="00975661">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120.6</w:t>
            </w:r>
          </w:p>
        </w:tc>
        <w:tc>
          <w:tcPr>
            <w:tcW w:w="6221" w:type="dxa"/>
            <w:shd w:val="clear" w:color="auto" w:fill="auto"/>
          </w:tcPr>
          <w:p w:rsidR="00975661" w:rsidRPr="00975661" w:rsidRDefault="00E56C9A" w:rsidP="00975661">
            <w:pPr>
              <w:tabs>
                <w:tab w:val="left" w:pos="1455"/>
                <w:tab w:val="left" w:pos="5040"/>
                <w:tab w:val="left" w:pos="6885"/>
              </w:tabs>
              <w:spacing w:after="120"/>
              <w:jc w:val="both"/>
              <w:rPr>
                <w:rFonts w:ascii="Arial" w:eastAsia="Arial Unicode MS" w:hAnsi="Arial" w:cs="Arial"/>
                <w:color w:val="000000"/>
                <w:sz w:val="20"/>
                <w:szCs w:val="20"/>
              </w:rPr>
            </w:pPr>
            <w:r w:rsidRPr="00975661">
              <w:rPr>
                <w:rFonts w:ascii="Arial" w:eastAsia="Arial Unicode MS" w:hAnsi="Arial" w:cs="Arial"/>
                <w:color w:val="000000"/>
                <w:sz w:val="20"/>
                <w:szCs w:val="20"/>
              </w:rPr>
              <w:t>Long term credit investments</w:t>
            </w:r>
          </w:p>
        </w:tc>
        <w:tc>
          <w:tcPr>
            <w:tcW w:w="1701" w:type="dxa"/>
            <w:shd w:val="clear" w:color="auto" w:fill="auto"/>
          </w:tcPr>
          <w:p w:rsidR="00975661" w:rsidRPr="00076CE1" w:rsidRDefault="00E56C9A" w:rsidP="004D7108">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204.1</w:t>
            </w:r>
          </w:p>
        </w:tc>
      </w:tr>
      <w:tr w:rsidR="00B368D6" w:rsidTr="00105290">
        <w:trPr>
          <w:trHeight w:val="431"/>
        </w:trPr>
        <w:tc>
          <w:tcPr>
            <w:tcW w:w="1717" w:type="dxa"/>
            <w:shd w:val="clear" w:color="auto" w:fill="auto"/>
          </w:tcPr>
          <w:p w:rsidR="00975661" w:rsidRPr="00076CE1" w:rsidRDefault="00E56C9A" w:rsidP="00975661">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485.7</w:t>
            </w:r>
          </w:p>
        </w:tc>
        <w:tc>
          <w:tcPr>
            <w:tcW w:w="6221" w:type="dxa"/>
            <w:shd w:val="clear" w:color="auto" w:fill="auto"/>
          </w:tcPr>
          <w:p w:rsidR="00975661" w:rsidRPr="00975661" w:rsidRDefault="00E56C9A" w:rsidP="00975661">
            <w:pPr>
              <w:tabs>
                <w:tab w:val="left" w:pos="1455"/>
                <w:tab w:val="left" w:pos="5040"/>
                <w:tab w:val="left" w:pos="6885"/>
              </w:tabs>
              <w:spacing w:after="120"/>
              <w:jc w:val="both"/>
              <w:rPr>
                <w:rFonts w:ascii="Arial" w:eastAsia="Arial Unicode MS" w:hAnsi="Arial" w:cs="Arial"/>
                <w:sz w:val="20"/>
                <w:szCs w:val="18"/>
              </w:rPr>
            </w:pPr>
            <w:r w:rsidRPr="00975661">
              <w:rPr>
                <w:rFonts w:ascii="Arial" w:eastAsia="Arial Unicode MS" w:hAnsi="Arial" w:cs="Arial"/>
                <w:color w:val="000000"/>
                <w:sz w:val="20"/>
                <w:szCs w:val="20"/>
              </w:rPr>
              <w:t>Equity funds</w:t>
            </w:r>
          </w:p>
        </w:tc>
        <w:tc>
          <w:tcPr>
            <w:tcW w:w="1701" w:type="dxa"/>
            <w:shd w:val="clear" w:color="auto" w:fill="auto"/>
          </w:tcPr>
          <w:p w:rsidR="00975661" w:rsidRPr="00076CE1" w:rsidRDefault="00E56C9A" w:rsidP="00975661">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3,168.2</w:t>
            </w:r>
          </w:p>
        </w:tc>
      </w:tr>
      <w:tr w:rsidR="00B368D6" w:rsidTr="00105290">
        <w:trPr>
          <w:trHeight w:val="431"/>
        </w:trPr>
        <w:tc>
          <w:tcPr>
            <w:tcW w:w="1717" w:type="dxa"/>
            <w:shd w:val="clear" w:color="auto" w:fill="auto"/>
          </w:tcPr>
          <w:p w:rsidR="00975661" w:rsidRPr="00076CE1" w:rsidRDefault="00E56C9A" w:rsidP="00975661">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0.6</w:t>
            </w:r>
          </w:p>
        </w:tc>
        <w:tc>
          <w:tcPr>
            <w:tcW w:w="6221" w:type="dxa"/>
            <w:shd w:val="clear" w:color="auto" w:fill="auto"/>
          </w:tcPr>
          <w:p w:rsidR="00975661" w:rsidRPr="00975661" w:rsidRDefault="00E56C9A" w:rsidP="00975661">
            <w:pPr>
              <w:tabs>
                <w:tab w:val="left" w:pos="1455"/>
                <w:tab w:val="left" w:pos="5040"/>
                <w:tab w:val="left" w:pos="6885"/>
              </w:tabs>
              <w:spacing w:after="120"/>
              <w:jc w:val="both"/>
              <w:rPr>
                <w:rFonts w:ascii="Arial" w:eastAsia="Arial Unicode MS" w:hAnsi="Arial" w:cs="Arial"/>
                <w:sz w:val="20"/>
                <w:szCs w:val="18"/>
              </w:rPr>
            </w:pPr>
            <w:r w:rsidRPr="00975661">
              <w:rPr>
                <w:rFonts w:ascii="Arial" w:eastAsia="Arial Unicode MS" w:hAnsi="Arial" w:cs="Arial"/>
                <w:color w:val="000000"/>
                <w:sz w:val="20"/>
                <w:szCs w:val="20"/>
              </w:rPr>
              <w:t>Cash funds</w:t>
            </w:r>
          </w:p>
        </w:tc>
        <w:tc>
          <w:tcPr>
            <w:tcW w:w="1701" w:type="dxa"/>
            <w:shd w:val="clear" w:color="auto" w:fill="auto"/>
          </w:tcPr>
          <w:p w:rsidR="00975661" w:rsidRPr="00076CE1" w:rsidRDefault="00E56C9A" w:rsidP="00975661">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0.0</w:t>
            </w:r>
          </w:p>
        </w:tc>
      </w:tr>
      <w:tr w:rsidR="00B368D6" w:rsidTr="00105290">
        <w:trPr>
          <w:trHeight w:val="431"/>
        </w:trPr>
        <w:tc>
          <w:tcPr>
            <w:tcW w:w="1717" w:type="dxa"/>
            <w:shd w:val="clear" w:color="auto" w:fill="auto"/>
          </w:tcPr>
          <w:p w:rsidR="00975661" w:rsidRPr="00076CE1" w:rsidRDefault="00E56C9A" w:rsidP="00975661">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36.1</w:t>
            </w:r>
          </w:p>
        </w:tc>
        <w:tc>
          <w:tcPr>
            <w:tcW w:w="6221" w:type="dxa"/>
            <w:shd w:val="clear" w:color="auto" w:fill="auto"/>
          </w:tcPr>
          <w:p w:rsidR="00975661" w:rsidRPr="00975661" w:rsidRDefault="00E56C9A" w:rsidP="00975661">
            <w:pPr>
              <w:tabs>
                <w:tab w:val="left" w:pos="1455"/>
                <w:tab w:val="left" w:pos="5040"/>
                <w:tab w:val="left" w:pos="6885"/>
              </w:tabs>
              <w:spacing w:after="120"/>
              <w:jc w:val="both"/>
              <w:rPr>
                <w:rFonts w:ascii="Arial" w:eastAsia="Arial Unicode MS" w:hAnsi="Arial" w:cs="Arial"/>
                <w:sz w:val="20"/>
                <w:szCs w:val="18"/>
              </w:rPr>
            </w:pPr>
            <w:r w:rsidRPr="00975661">
              <w:rPr>
                <w:rFonts w:ascii="Arial" w:eastAsia="Arial Unicode MS" w:hAnsi="Arial" w:cs="Arial"/>
                <w:color w:val="000000"/>
                <w:sz w:val="20"/>
                <w:szCs w:val="20"/>
              </w:rPr>
              <w:t>Property funds</w:t>
            </w:r>
          </w:p>
        </w:tc>
        <w:tc>
          <w:tcPr>
            <w:tcW w:w="1701" w:type="dxa"/>
            <w:shd w:val="clear" w:color="auto" w:fill="auto"/>
          </w:tcPr>
          <w:p w:rsidR="00975661" w:rsidRPr="00076CE1" w:rsidRDefault="00E56C9A" w:rsidP="00975661">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41.0</w:t>
            </w:r>
          </w:p>
        </w:tc>
      </w:tr>
      <w:tr w:rsidR="00B368D6" w:rsidTr="00C20824">
        <w:trPr>
          <w:trHeight w:val="431"/>
        </w:trPr>
        <w:tc>
          <w:tcPr>
            <w:tcW w:w="1717" w:type="dxa"/>
            <w:shd w:val="clear" w:color="auto" w:fill="E7E6E6" w:themeFill="background2"/>
          </w:tcPr>
          <w:p w:rsidR="00975661" w:rsidRPr="00076CE1" w:rsidRDefault="00E56C9A" w:rsidP="00975661">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0"/>
              </w:rPr>
              <w:t>2,935.6</w:t>
            </w:r>
          </w:p>
        </w:tc>
        <w:tc>
          <w:tcPr>
            <w:tcW w:w="6221" w:type="dxa"/>
            <w:shd w:val="clear" w:color="auto" w:fill="E7E6E6" w:themeFill="background2"/>
          </w:tcPr>
          <w:p w:rsidR="00975661" w:rsidRPr="00076CE1" w:rsidRDefault="00E56C9A" w:rsidP="00975661">
            <w:pPr>
              <w:tabs>
                <w:tab w:val="left" w:pos="1455"/>
                <w:tab w:val="left" w:pos="5040"/>
                <w:tab w:val="left" w:pos="6885"/>
              </w:tabs>
              <w:spacing w:after="120"/>
              <w:jc w:val="both"/>
              <w:rPr>
                <w:rFonts w:ascii="Arial" w:eastAsia="Arial Unicode MS" w:hAnsi="Arial" w:cs="Arial"/>
                <w:sz w:val="20"/>
                <w:szCs w:val="18"/>
              </w:rPr>
            </w:pPr>
          </w:p>
        </w:tc>
        <w:tc>
          <w:tcPr>
            <w:tcW w:w="1701" w:type="dxa"/>
            <w:shd w:val="clear" w:color="auto" w:fill="E7E6E6" w:themeFill="background2"/>
          </w:tcPr>
          <w:p w:rsidR="00975661" w:rsidRPr="00076CE1" w:rsidRDefault="00E56C9A" w:rsidP="00975661">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6,236.1</w:t>
            </w:r>
          </w:p>
        </w:tc>
      </w:tr>
    </w:tbl>
    <w:p w:rsidR="00DC78E9" w:rsidRPr="00C20824" w:rsidRDefault="00E56C9A" w:rsidP="00DC78E9">
      <w:pPr>
        <w:rPr>
          <w:rFonts w:ascii="Arial" w:eastAsia="Arial Unicode MS" w:hAnsi="Arial" w:cs="Arial"/>
        </w:rPr>
      </w:pPr>
    </w:p>
    <w:p w:rsidR="00DC78E9" w:rsidRDefault="00E56C9A" w:rsidP="00DC78E9">
      <w:pPr>
        <w:rPr>
          <w:rFonts w:ascii="Arial" w:eastAsia="Arial Unicode MS" w:hAnsi="Arial" w:cs="Arial"/>
        </w:rPr>
      </w:pPr>
    </w:p>
    <w:p w:rsidR="00E56C9A" w:rsidRDefault="00E56C9A" w:rsidP="00DC78E9">
      <w:pPr>
        <w:rPr>
          <w:rFonts w:ascii="Arial" w:eastAsia="Arial Unicode MS" w:hAnsi="Arial" w:cs="Arial"/>
        </w:rPr>
      </w:pPr>
    </w:p>
    <w:p w:rsidR="00E56C9A" w:rsidRDefault="00E56C9A" w:rsidP="00DC78E9">
      <w:pPr>
        <w:rPr>
          <w:rFonts w:ascii="Arial" w:eastAsia="Arial Unicode MS" w:hAnsi="Arial" w:cs="Arial"/>
        </w:rPr>
      </w:pPr>
    </w:p>
    <w:p w:rsidR="00E56C9A" w:rsidRPr="00C20824" w:rsidRDefault="00E56C9A" w:rsidP="00DC78E9">
      <w:pPr>
        <w:rPr>
          <w:rFonts w:ascii="Arial" w:eastAsia="Arial Unicode MS" w:hAnsi="Arial" w:cs="Arial"/>
        </w:rPr>
      </w:pPr>
    </w:p>
    <w:p w:rsidR="00DC78E9" w:rsidRPr="00C20824" w:rsidRDefault="00E56C9A" w:rsidP="00DC78E9">
      <w:pPr>
        <w:autoSpaceDE w:val="0"/>
        <w:autoSpaceDN w:val="0"/>
        <w:adjustRightInd w:val="0"/>
        <w:jc w:val="both"/>
        <w:rPr>
          <w:rFonts w:ascii="Arial" w:eastAsia="Arial Unicode MS" w:hAnsi="Arial" w:cs="Arial"/>
          <w:b/>
          <w:color w:val="000000"/>
          <w:sz w:val="32"/>
          <w:szCs w:val="22"/>
        </w:rPr>
      </w:pPr>
      <w:r w:rsidRPr="00C20824">
        <w:rPr>
          <w:rFonts w:ascii="Arial" w:eastAsia="Arial Unicode MS" w:hAnsi="Arial" w:cs="Arial"/>
          <w:b/>
          <w:color w:val="000000"/>
          <w:sz w:val="32"/>
          <w:szCs w:val="22"/>
        </w:rPr>
        <w:t>Property holdings</w:t>
      </w:r>
    </w:p>
    <w:p w:rsidR="00DC78E9" w:rsidRPr="00C20824" w:rsidRDefault="00E56C9A" w:rsidP="00DC78E9">
      <w:pPr>
        <w:autoSpaceDE w:val="0"/>
        <w:autoSpaceDN w:val="0"/>
        <w:adjustRightInd w:val="0"/>
        <w:ind w:left="720" w:hanging="720"/>
        <w:jc w:val="both"/>
        <w:rPr>
          <w:rFonts w:ascii="Arial" w:eastAsia="Arial Unicode MS" w:hAnsi="Arial" w:cs="Arial"/>
          <w:b/>
          <w:color w:val="000000"/>
          <w:sz w:val="22"/>
          <w:szCs w:val="22"/>
        </w:rPr>
      </w:pPr>
    </w:p>
    <w:p w:rsidR="00DC78E9" w:rsidRPr="00C20824" w:rsidRDefault="00E56C9A" w:rsidP="00DC78E9">
      <w:pPr>
        <w:autoSpaceDE w:val="0"/>
        <w:autoSpaceDN w:val="0"/>
        <w:adjustRightInd w:val="0"/>
        <w:jc w:val="both"/>
        <w:rPr>
          <w:rFonts w:ascii="Arial" w:eastAsia="Arial Unicode MS" w:hAnsi="Arial" w:cs="Arial"/>
          <w:color w:val="000000"/>
          <w:sz w:val="22"/>
          <w:szCs w:val="22"/>
        </w:rPr>
      </w:pPr>
      <w:r w:rsidRPr="00C20824">
        <w:rPr>
          <w:rFonts w:ascii="Arial" w:eastAsia="Arial Unicode MS" w:hAnsi="Arial" w:cs="Arial"/>
          <w:color w:val="000000"/>
          <w:sz w:val="22"/>
          <w:szCs w:val="22"/>
        </w:rPr>
        <w:t xml:space="preserve">The Fund's investment in property comprises of investments in pooled property funds along with a number of directly owned properties which are leased commercially to various tenants. </w:t>
      </w:r>
    </w:p>
    <w:p w:rsidR="00DC78E9" w:rsidRPr="00C20824"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C20824" w:rsidRDefault="00E56C9A" w:rsidP="00DC78E9">
      <w:pPr>
        <w:autoSpaceDE w:val="0"/>
        <w:autoSpaceDN w:val="0"/>
        <w:adjustRightInd w:val="0"/>
        <w:jc w:val="both"/>
        <w:rPr>
          <w:rFonts w:ascii="Arial" w:eastAsia="Arial Unicode MS" w:hAnsi="Arial" w:cs="Arial"/>
          <w:color w:val="000000"/>
          <w:sz w:val="22"/>
          <w:szCs w:val="22"/>
        </w:rPr>
      </w:pPr>
      <w:r w:rsidRPr="00C20824">
        <w:rPr>
          <w:rFonts w:ascii="Arial" w:eastAsia="Arial Unicode MS" w:hAnsi="Arial" w:cs="Arial"/>
          <w:color w:val="000000"/>
          <w:sz w:val="22"/>
          <w:szCs w:val="22"/>
        </w:rPr>
        <w:t>Details of these directly owned properties are as follows.</w:t>
      </w:r>
    </w:p>
    <w:p w:rsidR="00DC78E9" w:rsidRPr="00C20824" w:rsidRDefault="00E56C9A" w:rsidP="00DC78E9">
      <w:pPr>
        <w:autoSpaceDE w:val="0"/>
        <w:autoSpaceDN w:val="0"/>
        <w:adjustRightInd w:val="0"/>
        <w:jc w:val="both"/>
        <w:rPr>
          <w:rFonts w:ascii="Arial" w:eastAsia="Arial Unicode MS" w:hAnsi="Arial" w:cs="Arial"/>
          <w:color w:val="000000"/>
          <w:sz w:val="22"/>
          <w:szCs w:val="22"/>
        </w:rPr>
      </w:pPr>
    </w:p>
    <w:p w:rsidR="00DC78E9" w:rsidRPr="00C20824" w:rsidRDefault="00E56C9A" w:rsidP="00DC78E9">
      <w:pPr>
        <w:autoSpaceDE w:val="0"/>
        <w:autoSpaceDN w:val="0"/>
        <w:adjustRightInd w:val="0"/>
        <w:jc w:val="both"/>
        <w:rPr>
          <w:rFonts w:ascii="Arial" w:eastAsia="Arial Unicode MS" w:hAnsi="Arial" w:cs="Arial"/>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C20824" w:rsidRDefault="00E56C9A" w:rsidP="001303FE">
            <w:pPr>
              <w:tabs>
                <w:tab w:val="left" w:pos="717"/>
                <w:tab w:val="left" w:pos="2160"/>
                <w:tab w:val="left" w:pos="6885"/>
              </w:tabs>
              <w:spacing w:after="60"/>
              <w:jc w:val="right"/>
              <w:rPr>
                <w:rFonts w:ascii="Arial" w:eastAsia="Arial Unicode MS" w:hAnsi="Arial" w:cs="Arial"/>
                <w:b/>
                <w:sz w:val="20"/>
                <w:szCs w:val="18"/>
              </w:rPr>
            </w:pPr>
            <w:r w:rsidRPr="00C20824">
              <w:rPr>
                <w:rFonts w:ascii="Arial" w:eastAsia="Arial Unicode MS" w:hAnsi="Arial" w:cs="Arial"/>
                <w:b/>
                <w:sz w:val="20"/>
                <w:szCs w:val="18"/>
              </w:rPr>
              <w:t xml:space="preserve">31 March </w:t>
            </w:r>
            <w:r w:rsidRPr="00C20824">
              <w:rPr>
                <w:rFonts w:ascii="Arial" w:eastAsia="Arial Unicode MS" w:hAnsi="Arial" w:cs="Arial"/>
                <w:b/>
                <w:sz w:val="20"/>
                <w:szCs w:val="18"/>
              </w:rPr>
              <w:t>2016</w:t>
            </w:r>
          </w:p>
        </w:tc>
        <w:tc>
          <w:tcPr>
            <w:tcW w:w="6221" w:type="dxa"/>
            <w:tcBorders>
              <w:bottom w:val="nil"/>
            </w:tcBorders>
            <w:shd w:val="clear" w:color="auto" w:fill="E7E6E6" w:themeFill="background2"/>
          </w:tcPr>
          <w:p w:rsidR="00DC78E9" w:rsidRPr="00C20824" w:rsidRDefault="00E56C9A" w:rsidP="001303FE">
            <w:pPr>
              <w:jc w:val="right"/>
              <w:rPr>
                <w:rFonts w:ascii="Arial" w:eastAsia="Arial Unicode MS" w:hAnsi="Arial" w:cs="Arial"/>
                <w:b/>
                <w:sz w:val="20"/>
                <w:szCs w:val="18"/>
              </w:rPr>
            </w:pPr>
          </w:p>
        </w:tc>
        <w:tc>
          <w:tcPr>
            <w:tcW w:w="1701" w:type="dxa"/>
            <w:shd w:val="clear" w:color="auto" w:fill="E7E6E6" w:themeFill="background2"/>
          </w:tcPr>
          <w:p w:rsidR="00DC78E9" w:rsidRPr="00C20824" w:rsidRDefault="00E56C9A" w:rsidP="001303FE">
            <w:pPr>
              <w:tabs>
                <w:tab w:val="left" w:pos="719"/>
                <w:tab w:val="left" w:pos="2160"/>
                <w:tab w:val="left" w:pos="6885"/>
              </w:tabs>
              <w:spacing w:after="60"/>
              <w:jc w:val="right"/>
              <w:rPr>
                <w:rFonts w:ascii="Arial" w:eastAsia="Arial Unicode MS" w:hAnsi="Arial" w:cs="Arial"/>
                <w:b/>
                <w:sz w:val="20"/>
                <w:szCs w:val="18"/>
              </w:rPr>
            </w:pPr>
            <w:r w:rsidRPr="00C20824">
              <w:rPr>
                <w:rFonts w:ascii="Arial" w:eastAsia="Arial Unicode MS" w:hAnsi="Arial" w:cs="Arial"/>
                <w:b/>
                <w:sz w:val="20"/>
                <w:szCs w:val="18"/>
              </w:rPr>
              <w:t>31 March 2017</w:t>
            </w:r>
          </w:p>
        </w:tc>
      </w:tr>
      <w:tr w:rsidR="00B368D6" w:rsidTr="00105290">
        <w:trPr>
          <w:trHeight w:val="266"/>
        </w:trPr>
        <w:tc>
          <w:tcPr>
            <w:tcW w:w="1717" w:type="dxa"/>
            <w:shd w:val="clear" w:color="auto" w:fill="E7E6E6" w:themeFill="background2"/>
          </w:tcPr>
          <w:p w:rsidR="00DC78E9" w:rsidRPr="00C20824" w:rsidRDefault="00E56C9A" w:rsidP="00AC2AD6">
            <w:pPr>
              <w:tabs>
                <w:tab w:val="left" w:pos="717"/>
                <w:tab w:val="left" w:pos="2160"/>
                <w:tab w:val="left" w:pos="6885"/>
              </w:tabs>
              <w:spacing w:after="60"/>
              <w:jc w:val="right"/>
              <w:rPr>
                <w:rFonts w:ascii="Arial" w:eastAsia="Arial Unicode MS" w:hAnsi="Arial" w:cs="Arial"/>
                <w:b/>
                <w:sz w:val="20"/>
                <w:szCs w:val="18"/>
              </w:rPr>
            </w:pPr>
            <w:r w:rsidRPr="00C20824">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C20824" w:rsidRDefault="00E56C9A" w:rsidP="00AC2AD6">
            <w:pPr>
              <w:jc w:val="right"/>
              <w:rPr>
                <w:rFonts w:ascii="Arial" w:eastAsia="Arial Unicode MS" w:hAnsi="Arial" w:cs="Arial"/>
                <w:b/>
                <w:sz w:val="20"/>
                <w:szCs w:val="18"/>
              </w:rPr>
            </w:pPr>
          </w:p>
        </w:tc>
        <w:tc>
          <w:tcPr>
            <w:tcW w:w="1701" w:type="dxa"/>
            <w:shd w:val="clear" w:color="auto" w:fill="E7E6E6" w:themeFill="background2"/>
          </w:tcPr>
          <w:p w:rsidR="00DC78E9" w:rsidRPr="00C20824" w:rsidRDefault="00E56C9A" w:rsidP="00AC2AD6">
            <w:pPr>
              <w:tabs>
                <w:tab w:val="left" w:pos="719"/>
                <w:tab w:val="left" w:pos="2160"/>
                <w:tab w:val="left" w:pos="6885"/>
              </w:tabs>
              <w:spacing w:after="60"/>
              <w:jc w:val="right"/>
              <w:rPr>
                <w:rFonts w:ascii="Arial" w:eastAsia="Arial Unicode MS" w:hAnsi="Arial" w:cs="Arial"/>
                <w:b/>
                <w:sz w:val="20"/>
                <w:szCs w:val="18"/>
              </w:rPr>
            </w:pPr>
            <w:r w:rsidRPr="00C20824">
              <w:rPr>
                <w:rFonts w:ascii="Arial" w:eastAsia="Arial Unicode MS" w:hAnsi="Arial" w:cs="Arial"/>
                <w:b/>
                <w:sz w:val="20"/>
                <w:szCs w:val="18"/>
              </w:rPr>
              <w:t>£m</w:t>
            </w:r>
          </w:p>
        </w:tc>
      </w:tr>
      <w:tr w:rsidR="00B368D6" w:rsidTr="00105290">
        <w:trPr>
          <w:trHeight w:val="431"/>
        </w:trPr>
        <w:tc>
          <w:tcPr>
            <w:tcW w:w="1717" w:type="dxa"/>
            <w:shd w:val="clear" w:color="auto" w:fill="E7E6E6" w:themeFill="background2"/>
          </w:tcPr>
          <w:p w:rsidR="00DC78E9" w:rsidRPr="00C20824" w:rsidRDefault="00E56C9A" w:rsidP="00105290">
            <w:pPr>
              <w:tabs>
                <w:tab w:val="left" w:pos="2160"/>
                <w:tab w:val="left" w:pos="6885"/>
              </w:tabs>
              <w:spacing w:after="60"/>
              <w:jc w:val="right"/>
              <w:rPr>
                <w:rFonts w:ascii="Arial" w:eastAsia="Arial Unicode MS" w:hAnsi="Arial" w:cs="Arial"/>
                <w:b/>
                <w:sz w:val="20"/>
                <w:szCs w:val="18"/>
              </w:rPr>
            </w:pPr>
            <w:r w:rsidRPr="00C20824">
              <w:rPr>
                <w:rFonts w:ascii="Arial" w:eastAsia="Arial Unicode MS" w:hAnsi="Arial" w:cs="Arial"/>
                <w:b/>
                <w:color w:val="000000"/>
                <w:sz w:val="20"/>
                <w:szCs w:val="20"/>
              </w:rPr>
              <w:t>531.4</w:t>
            </w:r>
          </w:p>
        </w:tc>
        <w:tc>
          <w:tcPr>
            <w:tcW w:w="6221" w:type="dxa"/>
            <w:shd w:val="clear" w:color="auto" w:fill="E7E6E6" w:themeFill="background2"/>
          </w:tcPr>
          <w:p w:rsidR="00DC78E9" w:rsidRPr="00C20824" w:rsidRDefault="00E56C9A" w:rsidP="00105290">
            <w:pPr>
              <w:tabs>
                <w:tab w:val="left" w:pos="1455"/>
                <w:tab w:val="left" w:pos="5040"/>
                <w:tab w:val="left" w:pos="6885"/>
              </w:tabs>
              <w:spacing w:after="120"/>
              <w:jc w:val="both"/>
              <w:rPr>
                <w:rFonts w:ascii="Arial" w:eastAsia="Arial Unicode MS" w:hAnsi="Arial" w:cs="Arial"/>
                <w:b/>
                <w:sz w:val="20"/>
                <w:szCs w:val="18"/>
              </w:rPr>
            </w:pPr>
            <w:r w:rsidRPr="00C20824">
              <w:rPr>
                <w:rFonts w:ascii="Arial" w:eastAsia="Arial Unicode MS" w:hAnsi="Arial" w:cs="Arial"/>
                <w:b/>
                <w:color w:val="000000"/>
                <w:sz w:val="20"/>
                <w:szCs w:val="20"/>
              </w:rPr>
              <w:t>Opening balance</w:t>
            </w:r>
          </w:p>
        </w:tc>
        <w:tc>
          <w:tcPr>
            <w:tcW w:w="1701" w:type="dxa"/>
            <w:shd w:val="clear" w:color="auto" w:fill="E7E6E6" w:themeFill="background2"/>
          </w:tcPr>
          <w:p w:rsidR="00DC78E9" w:rsidRPr="00C20824" w:rsidRDefault="00E56C9A" w:rsidP="00105290">
            <w:pPr>
              <w:tabs>
                <w:tab w:val="left" w:pos="2160"/>
                <w:tab w:val="left" w:pos="6885"/>
              </w:tabs>
              <w:spacing w:after="60"/>
              <w:jc w:val="right"/>
              <w:rPr>
                <w:rFonts w:ascii="Arial" w:eastAsia="Arial Unicode MS" w:hAnsi="Arial" w:cs="Arial"/>
                <w:b/>
                <w:sz w:val="20"/>
                <w:szCs w:val="18"/>
              </w:rPr>
            </w:pPr>
            <w:r w:rsidRPr="00C20824">
              <w:rPr>
                <w:rFonts w:ascii="Arial" w:eastAsia="Arial Unicode MS" w:hAnsi="Arial" w:cs="Arial"/>
                <w:b/>
                <w:color w:val="000000"/>
                <w:sz w:val="20"/>
                <w:szCs w:val="20"/>
              </w:rPr>
              <w:t>608.1</w:t>
            </w:r>
          </w:p>
        </w:tc>
      </w:tr>
      <w:tr w:rsidR="00B368D6" w:rsidTr="00105290">
        <w:trPr>
          <w:trHeight w:val="431"/>
        </w:trPr>
        <w:tc>
          <w:tcPr>
            <w:tcW w:w="1717" w:type="dxa"/>
            <w:shd w:val="clear" w:color="auto" w:fill="E7E6E6" w:themeFill="background2"/>
          </w:tcPr>
          <w:p w:rsidR="00DC78E9" w:rsidRPr="00C20824" w:rsidRDefault="00E56C9A" w:rsidP="00105290">
            <w:pPr>
              <w:tabs>
                <w:tab w:val="left" w:pos="2160"/>
                <w:tab w:val="left" w:pos="6885"/>
              </w:tabs>
              <w:spacing w:after="60"/>
              <w:jc w:val="right"/>
              <w:rPr>
                <w:rFonts w:ascii="Arial" w:eastAsia="Arial Unicode MS" w:hAnsi="Arial" w:cs="Arial"/>
                <w:b/>
                <w:sz w:val="20"/>
                <w:szCs w:val="18"/>
              </w:rPr>
            </w:pPr>
          </w:p>
        </w:tc>
        <w:tc>
          <w:tcPr>
            <w:tcW w:w="6221" w:type="dxa"/>
            <w:shd w:val="clear" w:color="auto" w:fill="E7E6E6" w:themeFill="background2"/>
          </w:tcPr>
          <w:p w:rsidR="00DC78E9" w:rsidRPr="00C20824" w:rsidRDefault="00E56C9A" w:rsidP="00105290">
            <w:pPr>
              <w:tabs>
                <w:tab w:val="left" w:pos="1455"/>
                <w:tab w:val="left" w:pos="5040"/>
                <w:tab w:val="left" w:pos="6885"/>
              </w:tabs>
              <w:spacing w:after="120"/>
              <w:jc w:val="both"/>
              <w:rPr>
                <w:rFonts w:ascii="Arial" w:eastAsia="Arial Unicode MS" w:hAnsi="Arial" w:cs="Arial"/>
                <w:b/>
                <w:sz w:val="20"/>
                <w:szCs w:val="18"/>
              </w:rPr>
            </w:pPr>
            <w:r w:rsidRPr="00C20824">
              <w:rPr>
                <w:rFonts w:ascii="Arial" w:eastAsia="Arial Unicode MS" w:hAnsi="Arial" w:cs="Arial"/>
                <w:b/>
                <w:color w:val="000000"/>
                <w:sz w:val="20"/>
                <w:szCs w:val="20"/>
              </w:rPr>
              <w:t>Additions:</w:t>
            </w:r>
          </w:p>
        </w:tc>
        <w:tc>
          <w:tcPr>
            <w:tcW w:w="1701" w:type="dxa"/>
            <w:shd w:val="clear" w:color="auto" w:fill="E7E6E6" w:themeFill="background2"/>
          </w:tcPr>
          <w:p w:rsidR="00DC78E9" w:rsidRPr="00C20824" w:rsidRDefault="00E56C9A" w:rsidP="00105290">
            <w:pPr>
              <w:tabs>
                <w:tab w:val="left" w:pos="2160"/>
                <w:tab w:val="left" w:pos="6885"/>
              </w:tabs>
              <w:spacing w:after="60"/>
              <w:jc w:val="right"/>
              <w:rPr>
                <w:rFonts w:ascii="Arial" w:eastAsia="Arial Unicode MS" w:hAnsi="Arial" w:cs="Arial"/>
                <w:b/>
                <w:sz w:val="20"/>
                <w:szCs w:val="18"/>
              </w:rPr>
            </w:pPr>
          </w:p>
        </w:tc>
      </w:tr>
      <w:tr w:rsidR="00B368D6" w:rsidTr="00D166C7">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color w:val="000000"/>
                <w:sz w:val="20"/>
                <w:szCs w:val="20"/>
              </w:rPr>
              <w:t>66.4</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Purchases</w:t>
            </w:r>
            <w:r>
              <w:rPr>
                <w:rFonts w:ascii="Arial" w:eastAsia="Arial Unicode MS" w:hAnsi="Arial" w:cs="Arial"/>
                <w:color w:val="000000"/>
                <w:sz w:val="20"/>
                <w:szCs w:val="20"/>
              </w:rPr>
              <w:t>*</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27.6</w:t>
            </w:r>
          </w:p>
        </w:tc>
      </w:tr>
      <w:tr w:rsidR="00B368D6" w:rsidTr="00165B38">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color w:val="000000"/>
                <w:sz w:val="20"/>
                <w:szCs w:val="20"/>
              </w:rPr>
              <w:t>15.7</w:t>
            </w:r>
          </w:p>
        </w:tc>
        <w:tc>
          <w:tcPr>
            <w:tcW w:w="6221" w:type="dxa"/>
            <w:shd w:val="clear" w:color="auto" w:fill="auto"/>
          </w:tcPr>
          <w:p w:rsidR="00DC78E9" w:rsidRPr="00076CE1" w:rsidRDefault="00E56C9A" w:rsidP="007C1547">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New construction</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23.1</w:t>
            </w:r>
          </w:p>
        </w:tc>
      </w:tr>
      <w:tr w:rsidR="00B368D6" w:rsidTr="00D166C7">
        <w:trPr>
          <w:trHeight w:val="431"/>
        </w:trPr>
        <w:tc>
          <w:tcPr>
            <w:tcW w:w="1717" w:type="dxa"/>
            <w:shd w:val="clear" w:color="auto" w:fill="auto"/>
          </w:tcPr>
          <w:p w:rsidR="007C1547" w:rsidRPr="00076CE1" w:rsidRDefault="00E56C9A" w:rsidP="00105290">
            <w:pPr>
              <w:tabs>
                <w:tab w:val="left" w:pos="2160"/>
                <w:tab w:val="left" w:pos="6885"/>
              </w:tabs>
              <w:spacing w:after="60"/>
              <w:jc w:val="right"/>
              <w:rPr>
                <w:rFonts w:ascii="Arial" w:eastAsia="Arial Unicode MS" w:hAnsi="Arial" w:cs="Arial"/>
                <w:color w:val="000000"/>
                <w:sz w:val="20"/>
                <w:szCs w:val="20"/>
              </w:rPr>
            </w:pPr>
            <w:r>
              <w:rPr>
                <w:rFonts w:ascii="Arial" w:eastAsia="Arial Unicode MS" w:hAnsi="Arial" w:cs="Arial"/>
                <w:color w:val="000000"/>
                <w:sz w:val="20"/>
                <w:szCs w:val="20"/>
              </w:rPr>
              <w:t>2.3</w:t>
            </w:r>
          </w:p>
        </w:tc>
        <w:tc>
          <w:tcPr>
            <w:tcW w:w="6221" w:type="dxa"/>
            <w:shd w:val="clear" w:color="auto" w:fill="auto"/>
          </w:tcPr>
          <w:p w:rsidR="007C1547" w:rsidRPr="00076CE1" w:rsidRDefault="00E56C9A" w:rsidP="00105290">
            <w:pPr>
              <w:tabs>
                <w:tab w:val="left" w:pos="1455"/>
                <w:tab w:val="left" w:pos="5040"/>
                <w:tab w:val="left" w:pos="6885"/>
              </w:tabs>
              <w:spacing w:after="12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Subsequent expenditure</w:t>
            </w:r>
          </w:p>
        </w:tc>
        <w:tc>
          <w:tcPr>
            <w:tcW w:w="1701" w:type="dxa"/>
            <w:shd w:val="clear" w:color="auto" w:fill="auto"/>
          </w:tcPr>
          <w:p w:rsidR="007C1547"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44.5</w:t>
            </w:r>
          </w:p>
        </w:tc>
      </w:tr>
      <w:tr w:rsidR="00B368D6" w:rsidTr="00D166C7">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(52.6)</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Disposals</w:t>
            </w:r>
          </w:p>
        </w:tc>
        <w:tc>
          <w:tcPr>
            <w:tcW w:w="1701" w:type="dxa"/>
            <w:shd w:val="clear" w:color="auto" w:fill="auto"/>
          </w:tcPr>
          <w:p w:rsidR="00DC78E9" w:rsidRPr="00076CE1" w:rsidRDefault="00E56C9A" w:rsidP="0057587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w:t>
            </w:r>
            <w:r>
              <w:rPr>
                <w:rFonts w:ascii="Arial" w:eastAsia="Arial Unicode MS" w:hAnsi="Arial" w:cs="Arial"/>
                <w:sz w:val="20"/>
                <w:szCs w:val="18"/>
              </w:rPr>
              <w:t>104.5</w:t>
            </w:r>
            <w:r w:rsidRPr="00076CE1">
              <w:rPr>
                <w:rFonts w:ascii="Arial" w:eastAsia="Arial Unicode MS" w:hAnsi="Arial" w:cs="Arial"/>
                <w:sz w:val="20"/>
                <w:szCs w:val="18"/>
              </w:rPr>
              <w:t>)</w:t>
            </w:r>
          </w:p>
        </w:tc>
      </w:tr>
      <w:tr w:rsidR="00B368D6" w:rsidTr="00D166C7">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44.9</w:t>
            </w:r>
          </w:p>
        </w:tc>
        <w:tc>
          <w:tcPr>
            <w:tcW w:w="6221" w:type="dxa"/>
            <w:shd w:val="clear" w:color="auto" w:fill="auto"/>
          </w:tcPr>
          <w:p w:rsidR="00DC78E9" w:rsidRPr="00076CE1" w:rsidRDefault="00E56C9A" w:rsidP="007C1547">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 xml:space="preserve">Net </w:t>
            </w:r>
            <w:r w:rsidRPr="00076CE1">
              <w:rPr>
                <w:rFonts w:ascii="Arial" w:eastAsia="Arial Unicode MS" w:hAnsi="Arial" w:cs="Arial"/>
                <w:color w:val="000000"/>
                <w:sz w:val="20"/>
                <w:szCs w:val="20"/>
              </w:rPr>
              <w:t>increase in market value</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38.2</w:t>
            </w:r>
          </w:p>
        </w:tc>
      </w:tr>
      <w:tr w:rsidR="00B368D6" w:rsidTr="00105290">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0"/>
              </w:rPr>
              <w:t>608.1</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b/>
                <w:color w:val="000000"/>
                <w:sz w:val="20"/>
                <w:szCs w:val="20"/>
              </w:rPr>
              <w:t>Closing balance</w:t>
            </w: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637.0</w:t>
            </w:r>
          </w:p>
        </w:tc>
      </w:tr>
    </w:tbl>
    <w:p w:rsidR="00DC78E9" w:rsidRDefault="00E56C9A" w:rsidP="00DC78E9">
      <w:pPr>
        <w:autoSpaceDE w:val="0"/>
        <w:autoSpaceDN w:val="0"/>
        <w:adjustRightInd w:val="0"/>
        <w:jc w:val="both"/>
        <w:rPr>
          <w:rFonts w:ascii="Arial" w:eastAsia="Arial Unicode MS" w:hAnsi="Arial" w:cs="Arial"/>
          <w:color w:val="000000"/>
          <w:sz w:val="22"/>
          <w:szCs w:val="22"/>
        </w:rPr>
      </w:pPr>
    </w:p>
    <w:p w:rsidR="00D166C7" w:rsidRPr="009C43B7" w:rsidRDefault="00E56C9A" w:rsidP="00DC78E9">
      <w:pPr>
        <w:autoSpaceDE w:val="0"/>
        <w:autoSpaceDN w:val="0"/>
        <w:adjustRightInd w:val="0"/>
        <w:jc w:val="both"/>
        <w:rPr>
          <w:rFonts w:ascii="Arial" w:eastAsia="Arial Unicode MS" w:hAnsi="Arial" w:cs="Arial"/>
          <w:color w:val="000000"/>
          <w:sz w:val="18"/>
          <w:szCs w:val="18"/>
        </w:rPr>
      </w:pPr>
      <w:r>
        <w:rPr>
          <w:rFonts w:ascii="Arial" w:eastAsia="Arial Unicode MS" w:hAnsi="Arial" w:cs="Arial"/>
          <w:color w:val="000000"/>
          <w:sz w:val="18"/>
          <w:szCs w:val="18"/>
        </w:rPr>
        <w:t>*</w:t>
      </w:r>
      <w:r w:rsidRPr="009C43B7">
        <w:rPr>
          <w:rFonts w:ascii="Arial" w:eastAsia="Arial Unicode MS" w:hAnsi="Arial" w:cs="Arial"/>
          <w:color w:val="000000"/>
          <w:sz w:val="18"/>
          <w:szCs w:val="18"/>
        </w:rPr>
        <w:t>Comparatives as at 31 March 2016 have been restated to disclose new construction and subsequent expenditure separately rather than include within the purchases figure.</w:t>
      </w:r>
    </w:p>
    <w:p w:rsidR="00D166C7" w:rsidRPr="00076CE1" w:rsidRDefault="00E56C9A" w:rsidP="00DC78E9">
      <w:pPr>
        <w:autoSpaceDE w:val="0"/>
        <w:autoSpaceDN w:val="0"/>
        <w:adjustRightInd w:val="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Operating leases</w:t>
      </w:r>
    </w:p>
    <w:p w:rsidR="00DC78E9" w:rsidRPr="00076CE1" w:rsidRDefault="00E56C9A" w:rsidP="00DC78E9">
      <w:pPr>
        <w:autoSpaceDE w:val="0"/>
        <w:autoSpaceDN w:val="0"/>
        <w:adjustRightInd w:val="0"/>
        <w:jc w:val="both"/>
        <w:rPr>
          <w:rFonts w:ascii="Arial" w:eastAsia="Arial Unicode MS" w:hAnsi="Arial" w:cs="Arial"/>
          <w:b/>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Fund leases out property under operating leases.</w:t>
      </w: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The future </w:t>
      </w:r>
      <w:r w:rsidRPr="00076CE1">
        <w:rPr>
          <w:rFonts w:ascii="Arial" w:eastAsia="Arial Unicode MS" w:hAnsi="Arial" w:cs="Arial"/>
          <w:color w:val="000000"/>
          <w:sz w:val="22"/>
          <w:szCs w:val="22"/>
        </w:rPr>
        <w:t>minimum lease payments receivable under non-cancellable leases in future years are:</w:t>
      </w: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303FE">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2015/16</w:t>
            </w:r>
          </w:p>
        </w:tc>
        <w:tc>
          <w:tcPr>
            <w:tcW w:w="6221" w:type="dxa"/>
            <w:tcBorders>
              <w:bottom w:val="nil"/>
            </w:tcBorders>
            <w:shd w:val="clear" w:color="auto" w:fill="E7E6E6" w:themeFill="background2"/>
          </w:tcPr>
          <w:p w:rsidR="00DC78E9" w:rsidRPr="00076CE1" w:rsidRDefault="00E56C9A" w:rsidP="001303FE">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303FE">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2016/17</w:t>
            </w:r>
          </w:p>
        </w:tc>
      </w:tr>
      <w:tr w:rsidR="00B368D6" w:rsidTr="00105290">
        <w:trPr>
          <w:trHeight w:val="266"/>
        </w:trPr>
        <w:tc>
          <w:tcPr>
            <w:tcW w:w="1717" w:type="dxa"/>
            <w:shd w:val="clear" w:color="auto" w:fill="E7E6E6" w:themeFill="background2"/>
          </w:tcPr>
          <w:p w:rsidR="00DC78E9" w:rsidRPr="00076CE1" w:rsidRDefault="00E56C9A" w:rsidP="004D7695">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4D7695">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4D7695">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CA6B72">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29.5</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Leases expiring in the following year</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32.3</w:t>
            </w:r>
          </w:p>
        </w:tc>
      </w:tr>
      <w:tr w:rsidR="00B368D6" w:rsidTr="00CA6B72">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87.0</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Leases expiring in 2 to 5 years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101.5</w:t>
            </w:r>
          </w:p>
        </w:tc>
      </w:tr>
      <w:tr w:rsidR="00B368D6" w:rsidTr="00CA6B72">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87.6</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Leases expiring after 5 years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106.0</w:t>
            </w:r>
          </w:p>
        </w:tc>
      </w:tr>
      <w:tr w:rsidR="00B368D6" w:rsidTr="00CA6B72">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0"/>
              </w:rPr>
              <w:t>204.1</w:t>
            </w:r>
          </w:p>
        </w:tc>
        <w:tc>
          <w:tcPr>
            <w:tcW w:w="6221" w:type="dxa"/>
            <w:shd w:val="clear" w:color="auto" w:fill="E7E6E6" w:themeFill="background2"/>
          </w:tcPr>
          <w:p w:rsidR="00DC78E9" w:rsidRPr="00076CE1" w:rsidRDefault="00E56C9A" w:rsidP="009A7194">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b/>
                <w:color w:val="000000"/>
                <w:sz w:val="20"/>
                <w:szCs w:val="20"/>
              </w:rPr>
              <w:t>Total</w:t>
            </w:r>
            <w:r w:rsidRPr="00076CE1">
              <w:rPr>
                <w:rFonts w:ascii="Arial" w:eastAsia="Arial Unicode MS" w:hAnsi="Arial" w:cs="Arial"/>
                <w:b/>
                <w:color w:val="000000"/>
                <w:sz w:val="20"/>
                <w:szCs w:val="20"/>
              </w:rPr>
              <w:t xml:space="preserve"> future minimum lease payments receivable under existing non-cancellable leases</w:t>
            </w:r>
          </w:p>
        </w:tc>
        <w:tc>
          <w:tcPr>
            <w:tcW w:w="1701" w:type="dxa"/>
            <w:shd w:val="clear" w:color="auto" w:fill="E7E6E6" w:themeFill="background2"/>
          </w:tcPr>
          <w:p w:rsidR="00DC78E9" w:rsidRPr="00CA6B72" w:rsidRDefault="00E56C9A" w:rsidP="00105290">
            <w:pPr>
              <w:tabs>
                <w:tab w:val="left" w:pos="2160"/>
                <w:tab w:val="left" w:pos="6885"/>
              </w:tabs>
              <w:spacing w:after="60"/>
              <w:jc w:val="right"/>
              <w:rPr>
                <w:rFonts w:ascii="Arial" w:eastAsia="Arial Unicode MS" w:hAnsi="Arial" w:cs="Arial"/>
                <w:b/>
                <w:sz w:val="20"/>
                <w:szCs w:val="18"/>
              </w:rPr>
            </w:pPr>
            <w:r w:rsidRPr="00CA6B72">
              <w:rPr>
                <w:rFonts w:ascii="Arial" w:eastAsia="Arial Unicode MS" w:hAnsi="Arial" w:cs="Arial"/>
                <w:b/>
                <w:sz w:val="20"/>
                <w:szCs w:val="18"/>
              </w:rPr>
              <w:t>239.8</w:t>
            </w:r>
          </w:p>
        </w:tc>
      </w:tr>
    </w:tbl>
    <w:p w:rsidR="00DC78E9" w:rsidRPr="00076CE1" w:rsidRDefault="00E56C9A" w:rsidP="00DC78E9">
      <w:pPr>
        <w:autoSpaceDE w:val="0"/>
        <w:autoSpaceDN w:val="0"/>
        <w:adjustRightInd w:val="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There are no contingent rents as all rents are fixed until the next rent review (generally on 5 year review patterns) and then are either reviewed to market rent, </w:t>
      </w:r>
      <w:r w:rsidRPr="00076CE1">
        <w:rPr>
          <w:rFonts w:ascii="Arial" w:eastAsia="Arial Unicode MS" w:hAnsi="Arial" w:cs="Arial"/>
          <w:color w:val="000000"/>
          <w:sz w:val="22"/>
          <w:szCs w:val="22"/>
        </w:rPr>
        <w:t>a fixed uplift or in line with an index.</w:t>
      </w: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income is contractually secured against a wide range of tenants who in turn operate in a range of market sectors. Income is generally reviewed to market rent five yearly, and there is also an element of the por</w:t>
      </w:r>
      <w:r w:rsidRPr="00076CE1">
        <w:rPr>
          <w:rFonts w:ascii="Arial" w:eastAsia="Arial Unicode MS" w:hAnsi="Arial" w:cs="Arial"/>
          <w:color w:val="000000"/>
          <w:sz w:val="22"/>
          <w:szCs w:val="22"/>
        </w:rPr>
        <w:t>tfolio income that is indexed or has fixed uplifts (generally being in the range of 2-4% per annum). The portfolio also features a number of vacant properties for which the future income depends on the terms agreed by tenants, and the investment manager is</w:t>
      </w:r>
      <w:r w:rsidRPr="00076CE1">
        <w:rPr>
          <w:rFonts w:ascii="Arial" w:eastAsia="Arial Unicode MS" w:hAnsi="Arial" w:cs="Arial"/>
          <w:color w:val="000000"/>
          <w:sz w:val="22"/>
          <w:szCs w:val="22"/>
        </w:rPr>
        <w:t xml:space="preserve"> working with letting agents to fill these voids.</w:t>
      </w:r>
    </w:p>
    <w:p w:rsidR="00DC78E9" w:rsidRPr="00076CE1" w:rsidRDefault="00E56C9A" w:rsidP="00DC78E9">
      <w:pPr>
        <w:tabs>
          <w:tab w:val="left" w:pos="1080"/>
        </w:tabs>
        <w:autoSpaceDE w:val="0"/>
        <w:autoSpaceDN w:val="0"/>
        <w:adjustRightInd w:val="0"/>
        <w:jc w:val="both"/>
        <w:rPr>
          <w:rFonts w:ascii="Arial" w:eastAsia="Arial Unicode MS" w:hAnsi="Arial" w:cs="Arial"/>
          <w:color w:val="000000"/>
          <w:sz w:val="14"/>
          <w:szCs w:val="18"/>
        </w:rPr>
      </w:pPr>
    </w:p>
    <w:p w:rsidR="00DC78E9" w:rsidRPr="00076CE1" w:rsidRDefault="00E56C9A" w:rsidP="00DC78E9">
      <w:pPr>
        <w:tabs>
          <w:tab w:val="left" w:pos="1080"/>
        </w:tabs>
        <w:autoSpaceDE w:val="0"/>
        <w:autoSpaceDN w:val="0"/>
        <w:adjustRightInd w:val="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Cash deposits</w:t>
      </w:r>
    </w:p>
    <w:p w:rsidR="00DC78E9" w:rsidRPr="00076CE1" w:rsidRDefault="00E56C9A" w:rsidP="00DC78E9">
      <w:pPr>
        <w:tabs>
          <w:tab w:val="left" w:pos="1080"/>
        </w:tabs>
        <w:autoSpaceDE w:val="0"/>
        <w:autoSpaceDN w:val="0"/>
        <w:adjustRightInd w:val="0"/>
        <w:ind w:left="709"/>
        <w:jc w:val="both"/>
        <w:rPr>
          <w:rFonts w:ascii="Arial" w:eastAsia="Arial Unicode MS" w:hAnsi="Arial" w:cs="Arial"/>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303FE">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31 March 2016</w:t>
            </w:r>
          </w:p>
        </w:tc>
        <w:tc>
          <w:tcPr>
            <w:tcW w:w="6221" w:type="dxa"/>
            <w:tcBorders>
              <w:bottom w:val="nil"/>
            </w:tcBorders>
            <w:shd w:val="clear" w:color="auto" w:fill="E7E6E6" w:themeFill="background2"/>
          </w:tcPr>
          <w:p w:rsidR="00DC78E9" w:rsidRPr="00076CE1" w:rsidRDefault="00E56C9A" w:rsidP="001303FE">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303FE">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31 March 2017</w:t>
            </w:r>
          </w:p>
        </w:tc>
      </w:tr>
      <w:tr w:rsidR="00B368D6" w:rsidTr="00105290">
        <w:trPr>
          <w:trHeight w:val="266"/>
        </w:trPr>
        <w:tc>
          <w:tcPr>
            <w:tcW w:w="1717" w:type="dxa"/>
            <w:shd w:val="clear" w:color="auto" w:fill="E7E6E6" w:themeFill="background2"/>
          </w:tcPr>
          <w:p w:rsidR="00DC78E9" w:rsidRPr="00076CE1" w:rsidRDefault="00E56C9A" w:rsidP="004D7695">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4D7695">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4D7695">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lastRenderedPageBreak/>
              <w:t>114.9</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Sterling</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18.2</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95.4</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Foreign currency</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38.1</w:t>
            </w:r>
          </w:p>
        </w:tc>
      </w:tr>
      <w:tr w:rsidR="00B368D6" w:rsidTr="00105290">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0"/>
              </w:rPr>
              <w:t>210.3</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56.3</w:t>
            </w:r>
          </w:p>
        </w:tc>
      </w:tr>
    </w:tbl>
    <w:p w:rsidR="00DC78E9" w:rsidRPr="00076CE1" w:rsidRDefault="00E56C9A" w:rsidP="00DC78E9">
      <w:pPr>
        <w:autoSpaceDE w:val="0"/>
        <w:autoSpaceDN w:val="0"/>
        <w:adjustRightInd w:val="0"/>
        <w:ind w:left="720"/>
        <w:contextualSpacing/>
        <w:jc w:val="both"/>
        <w:rPr>
          <w:rFonts w:ascii="Arial" w:eastAsia="Arial Unicode MS" w:hAnsi="Arial" w:cs="Arial"/>
          <w:b/>
          <w:color w:val="000000"/>
          <w:sz w:val="28"/>
          <w:szCs w:val="22"/>
        </w:rPr>
      </w:pPr>
    </w:p>
    <w:p w:rsidR="00DC78E9" w:rsidRPr="00076CE1" w:rsidRDefault="00E56C9A" w:rsidP="00883473">
      <w:pPr>
        <w:autoSpaceDE w:val="0"/>
        <w:autoSpaceDN w:val="0"/>
        <w:adjustRightInd w:val="0"/>
        <w:ind w:left="283"/>
        <w:contextualSpacing/>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5</w:t>
      </w:r>
      <w:r w:rsidRPr="00076CE1">
        <w:rPr>
          <w:rFonts w:ascii="Arial" w:eastAsia="Arial Unicode MS" w:hAnsi="Arial" w:cs="Arial"/>
          <w:b/>
          <w:color w:val="000000"/>
          <w:sz w:val="32"/>
          <w:szCs w:val="22"/>
        </w:rPr>
        <w:t xml:space="preserve">. </w:t>
      </w:r>
      <w:r w:rsidRPr="00076CE1">
        <w:rPr>
          <w:rFonts w:ascii="Arial" w:eastAsia="Arial Unicode MS" w:hAnsi="Arial" w:cs="Arial"/>
          <w:b/>
          <w:color w:val="000000"/>
          <w:sz w:val="32"/>
          <w:szCs w:val="22"/>
        </w:rPr>
        <w:t>FINANCIAL INSTRUMENTS CLASSIFICATION</w:t>
      </w:r>
    </w:p>
    <w:p w:rsidR="00DC78E9" w:rsidRPr="00076CE1" w:rsidRDefault="00E56C9A" w:rsidP="00DC78E9">
      <w:pPr>
        <w:autoSpaceDE w:val="0"/>
        <w:autoSpaceDN w:val="0"/>
        <w:adjustRightInd w:val="0"/>
        <w:contextualSpacing/>
        <w:jc w:val="both"/>
        <w:rPr>
          <w:rFonts w:ascii="Arial" w:eastAsia="Arial Unicode MS" w:hAnsi="Arial" w:cs="Arial"/>
          <w:b/>
          <w:color w:val="000000"/>
          <w:sz w:val="22"/>
          <w:szCs w:val="22"/>
        </w:rPr>
      </w:pPr>
    </w:p>
    <w:p w:rsidR="00DC78E9" w:rsidRPr="00076CE1" w:rsidRDefault="00E56C9A" w:rsidP="00DC78E9">
      <w:pPr>
        <w:autoSpaceDE w:val="0"/>
        <w:autoSpaceDN w:val="0"/>
        <w:adjustRightInd w:val="0"/>
        <w:contextualSpacing/>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The following table analyses the carrying amounts of financial assets and liabilities by category and net asset statement heading. </w:t>
      </w:r>
      <w:r w:rsidRPr="00076CE1">
        <w:rPr>
          <w:rFonts w:ascii="Arial" w:eastAsia="Arial Unicode MS" w:hAnsi="Arial" w:cs="Arial"/>
          <w:color w:val="000000"/>
          <w:sz w:val="22"/>
          <w:szCs w:val="22"/>
        </w:rPr>
        <w:t xml:space="preserve">  Directly held property is excluded from this note.</w:t>
      </w:r>
    </w:p>
    <w:p w:rsidR="00DC78E9" w:rsidRPr="00076CE1" w:rsidRDefault="00E56C9A" w:rsidP="00DC78E9">
      <w:pPr>
        <w:autoSpaceDE w:val="0"/>
        <w:autoSpaceDN w:val="0"/>
        <w:adjustRightInd w:val="0"/>
        <w:ind w:left="720"/>
        <w:contextualSpacing/>
        <w:jc w:val="both"/>
        <w:rPr>
          <w:rFonts w:ascii="Arial" w:eastAsia="Arial Unicode MS" w:hAnsi="Arial" w:cs="Arial"/>
          <w:color w:val="000000"/>
          <w:sz w:val="22"/>
          <w:szCs w:val="22"/>
        </w:rPr>
      </w:pPr>
    </w:p>
    <w:p w:rsidR="00DC78E9" w:rsidRPr="00076CE1" w:rsidRDefault="00E56C9A" w:rsidP="00DC78E9">
      <w:pPr>
        <w:autoSpaceDE w:val="0"/>
        <w:autoSpaceDN w:val="0"/>
        <w:adjustRightInd w:val="0"/>
        <w:ind w:left="720"/>
        <w:contextualSpacing/>
        <w:jc w:val="both"/>
        <w:rPr>
          <w:rFonts w:ascii="Arial" w:eastAsia="Arial Unicode MS" w:hAnsi="Arial" w:cs="Arial"/>
          <w:color w:val="000000"/>
          <w:sz w:val="22"/>
          <w:szCs w:val="22"/>
        </w:rPr>
      </w:pPr>
    </w:p>
    <w:tbl>
      <w:tblPr>
        <w:tblStyle w:val="TableGrid12"/>
        <w:tblW w:w="0" w:type="auto"/>
        <w:tblLook w:val="04A0" w:firstRow="1" w:lastRow="0" w:firstColumn="1" w:lastColumn="0" w:noHBand="0" w:noVBand="1"/>
      </w:tblPr>
      <w:tblGrid>
        <w:gridCol w:w="4551"/>
        <w:gridCol w:w="1590"/>
        <w:gridCol w:w="1757"/>
        <w:gridCol w:w="1690"/>
      </w:tblGrid>
      <w:tr w:rsidR="00B368D6" w:rsidTr="00105290">
        <w:trPr>
          <w:trHeight w:val="431"/>
        </w:trPr>
        <w:tc>
          <w:tcPr>
            <w:tcW w:w="4551"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31 March 2017</w:t>
            </w:r>
          </w:p>
        </w:tc>
        <w:tc>
          <w:tcPr>
            <w:tcW w:w="1590"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DC78E9" w:rsidRPr="00076CE1" w:rsidRDefault="00E56C9A" w:rsidP="003A02F4">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Fair value through profit or loss</w:t>
            </w:r>
          </w:p>
        </w:tc>
        <w:tc>
          <w:tcPr>
            <w:tcW w:w="1757"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230076" w:rsidRPr="00076CE1" w:rsidRDefault="00E56C9A" w:rsidP="003A02F4">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 xml:space="preserve">Loans </w:t>
            </w:r>
          </w:p>
          <w:p w:rsidR="00230076" w:rsidRPr="00076CE1" w:rsidRDefault="00E56C9A" w:rsidP="003A02F4">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 xml:space="preserve">and </w:t>
            </w:r>
          </w:p>
          <w:p w:rsidR="00DC78E9" w:rsidRPr="00076CE1" w:rsidRDefault="00E56C9A" w:rsidP="003A02F4">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receivables</w:t>
            </w:r>
          </w:p>
        </w:tc>
        <w:tc>
          <w:tcPr>
            <w:tcW w:w="1690"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DC78E9" w:rsidRPr="00076CE1" w:rsidRDefault="00E56C9A" w:rsidP="003A02F4">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Financial liabilities at amortised cost</w:t>
            </w:r>
          </w:p>
        </w:tc>
      </w:tr>
      <w:tr w:rsidR="00B368D6" w:rsidTr="00105290">
        <w:trPr>
          <w:trHeight w:val="431"/>
        </w:trPr>
        <w:tc>
          <w:tcPr>
            <w:tcW w:w="4551"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color w:val="000000"/>
                <w:sz w:val="20"/>
                <w:szCs w:val="20"/>
              </w:rPr>
            </w:pPr>
          </w:p>
        </w:tc>
        <w:tc>
          <w:tcPr>
            <w:tcW w:w="1590" w:type="dxa"/>
            <w:tcBorders>
              <w:top w:val="single" w:sz="4" w:space="0" w:color="008080"/>
              <w:left w:val="single" w:sz="4" w:space="0" w:color="008080"/>
              <w:bottom w:val="single" w:sz="4" w:space="0" w:color="008080"/>
              <w:right w:val="single" w:sz="4" w:space="0" w:color="008080"/>
            </w:tcBorders>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757" w:type="dxa"/>
            <w:tcBorders>
              <w:top w:val="single" w:sz="4" w:space="0" w:color="008080"/>
              <w:left w:val="single" w:sz="4" w:space="0" w:color="008080"/>
              <w:bottom w:val="single" w:sz="4" w:space="0" w:color="008080"/>
              <w:right w:val="single" w:sz="4" w:space="0" w:color="008080"/>
            </w:tcBorders>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690" w:type="dxa"/>
            <w:tcBorders>
              <w:top w:val="single" w:sz="4" w:space="0" w:color="008080"/>
              <w:left w:val="single" w:sz="4" w:space="0" w:color="008080"/>
              <w:bottom w:val="single" w:sz="4" w:space="0" w:color="008080"/>
              <w:right w:val="single" w:sz="4" w:space="0" w:color="008080"/>
            </w:tcBorders>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r>
      <w:tr w:rsidR="00B368D6" w:rsidTr="00105290">
        <w:trPr>
          <w:trHeight w:val="431"/>
        </w:trPr>
        <w:tc>
          <w:tcPr>
            <w:tcW w:w="4551"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Financial assets</w:t>
            </w:r>
          </w:p>
        </w:tc>
        <w:tc>
          <w:tcPr>
            <w:tcW w:w="1590"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757"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Borders>
              <w:top w:val="single" w:sz="4" w:space="0" w:color="008080"/>
              <w:left w:val="single" w:sz="4" w:space="0" w:color="008080"/>
              <w:bottom w:val="single" w:sz="4" w:space="0" w:color="008080"/>
              <w:right w:val="single" w:sz="4" w:space="0" w:color="008080"/>
            </w:tcBorders>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Fixed interest securities</w:t>
            </w:r>
          </w:p>
        </w:tc>
        <w:tc>
          <w:tcPr>
            <w:tcW w:w="1590" w:type="dxa"/>
            <w:tcBorders>
              <w:top w:val="single" w:sz="4" w:space="0" w:color="008080"/>
              <w:left w:val="single" w:sz="4" w:space="0" w:color="008080"/>
              <w:bottom w:val="single" w:sz="4" w:space="0" w:color="008080"/>
              <w:right w:val="single" w:sz="4" w:space="0" w:color="008080"/>
            </w:tcBorders>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132.2</w:t>
            </w:r>
          </w:p>
          <w:p w:rsidR="00AD353D"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757" w:type="dxa"/>
            <w:tcBorders>
              <w:top w:val="single" w:sz="4" w:space="0" w:color="008080"/>
              <w:left w:val="single" w:sz="4" w:space="0" w:color="008080"/>
              <w:bottom w:val="single" w:sz="4" w:space="0" w:color="008080"/>
              <w:right w:val="single" w:sz="4" w:space="0" w:color="008080"/>
            </w:tcBorders>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Borders>
              <w:top w:val="single" w:sz="4" w:space="0" w:color="008080"/>
              <w:left w:val="single" w:sz="4" w:space="0" w:color="008080"/>
              <w:bottom w:val="single" w:sz="4" w:space="0" w:color="008080"/>
              <w:right w:val="single" w:sz="4" w:space="0" w:color="008080"/>
            </w:tcBorders>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Borders>
              <w:top w:val="single" w:sz="4" w:space="0" w:color="008080"/>
              <w:left w:val="single" w:sz="4" w:space="0" w:color="008080"/>
              <w:bottom w:val="single" w:sz="4" w:space="0" w:color="008080"/>
              <w:right w:val="single" w:sz="4" w:space="0" w:color="008080"/>
            </w:tcBorders>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Index linked securities</w:t>
            </w:r>
          </w:p>
        </w:tc>
        <w:tc>
          <w:tcPr>
            <w:tcW w:w="1590" w:type="dxa"/>
            <w:tcBorders>
              <w:top w:val="single" w:sz="4" w:space="0" w:color="008080"/>
              <w:left w:val="single" w:sz="4" w:space="0" w:color="008080"/>
              <w:bottom w:val="single" w:sz="4" w:space="0" w:color="008080"/>
              <w:right w:val="single" w:sz="4" w:space="0" w:color="008080"/>
            </w:tcBorders>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127.1</w:t>
            </w:r>
          </w:p>
        </w:tc>
        <w:tc>
          <w:tcPr>
            <w:tcW w:w="1757" w:type="dxa"/>
            <w:tcBorders>
              <w:top w:val="single" w:sz="4" w:space="0" w:color="008080"/>
              <w:left w:val="single" w:sz="4" w:space="0" w:color="008080"/>
              <w:bottom w:val="single" w:sz="4" w:space="0" w:color="008080"/>
              <w:right w:val="single" w:sz="4" w:space="0" w:color="008080"/>
            </w:tcBorders>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Borders>
              <w:top w:val="single" w:sz="4" w:space="0" w:color="008080"/>
              <w:left w:val="single" w:sz="4" w:space="0" w:color="008080"/>
              <w:bottom w:val="single" w:sz="4" w:space="0" w:color="008080"/>
              <w:right w:val="single" w:sz="4" w:space="0" w:color="008080"/>
            </w:tcBorders>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Pooled investment vehicles</w:t>
            </w:r>
          </w:p>
        </w:tc>
        <w:tc>
          <w:tcPr>
            <w:tcW w:w="1590" w:type="dxa"/>
            <w:tcBorders>
              <w:top w:val="single" w:sz="4" w:space="0" w:color="008080"/>
              <w:left w:val="single" w:sz="4" w:space="0" w:color="008080"/>
              <w:bottom w:val="single" w:sz="4" w:space="0" w:color="008080"/>
              <w:right w:val="single" w:sz="4" w:space="0" w:color="008080"/>
            </w:tcBorders>
          </w:tcPr>
          <w:p w:rsidR="00AD353D" w:rsidRPr="00076CE1" w:rsidRDefault="00E56C9A" w:rsidP="00501D17">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6,136.</w:t>
            </w:r>
            <w:r w:rsidRPr="00076CE1">
              <w:rPr>
                <w:rFonts w:ascii="Arial" w:eastAsia="Arial Unicode MS" w:hAnsi="Arial" w:cs="Arial"/>
                <w:color w:val="000000"/>
                <w:sz w:val="20"/>
                <w:szCs w:val="20"/>
              </w:rPr>
              <w:t>8</w:t>
            </w:r>
          </w:p>
        </w:tc>
        <w:tc>
          <w:tcPr>
            <w:tcW w:w="1757"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Pooled property investments</w:t>
            </w:r>
          </w:p>
        </w:tc>
        <w:tc>
          <w:tcPr>
            <w:tcW w:w="1590"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99.4</w:t>
            </w:r>
          </w:p>
        </w:tc>
        <w:tc>
          <w:tcPr>
            <w:tcW w:w="1757"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Cash deposits</w:t>
            </w:r>
          </w:p>
        </w:tc>
        <w:tc>
          <w:tcPr>
            <w:tcW w:w="1590"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right"/>
              <w:rPr>
                <w:rFonts w:ascii="Arial" w:eastAsia="Arial Unicode MS" w:hAnsi="Arial" w:cs="Arial"/>
                <w:color w:val="000000"/>
                <w:sz w:val="20"/>
                <w:szCs w:val="20"/>
              </w:rPr>
            </w:pPr>
          </w:p>
        </w:tc>
        <w:tc>
          <w:tcPr>
            <w:tcW w:w="1757"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56.3</w:t>
            </w:r>
          </w:p>
        </w:tc>
        <w:tc>
          <w:tcPr>
            <w:tcW w:w="1690"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Investment accruals</w:t>
            </w:r>
          </w:p>
        </w:tc>
        <w:tc>
          <w:tcPr>
            <w:tcW w:w="1590" w:type="dxa"/>
            <w:tcBorders>
              <w:top w:val="single" w:sz="4" w:space="0" w:color="008080"/>
              <w:left w:val="single" w:sz="4" w:space="0" w:color="008080"/>
              <w:bottom w:val="single" w:sz="4" w:space="0" w:color="008080"/>
              <w:right w:val="single" w:sz="4" w:space="0" w:color="008080"/>
            </w:tcBorders>
          </w:tcPr>
          <w:p w:rsidR="00AD353D" w:rsidRPr="00076CE1" w:rsidRDefault="00E56C9A" w:rsidP="00104AD4">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w:t>
            </w:r>
            <w:r>
              <w:rPr>
                <w:rFonts w:ascii="Arial" w:eastAsia="Arial Unicode MS" w:hAnsi="Arial" w:cs="Arial"/>
                <w:color w:val="000000"/>
                <w:sz w:val="20"/>
                <w:szCs w:val="20"/>
              </w:rPr>
              <w:t>6</w:t>
            </w:r>
          </w:p>
        </w:tc>
        <w:tc>
          <w:tcPr>
            <w:tcW w:w="1757"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Debtors</w:t>
            </w:r>
          </w:p>
        </w:tc>
        <w:tc>
          <w:tcPr>
            <w:tcW w:w="1590"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right"/>
              <w:rPr>
                <w:rFonts w:ascii="Arial" w:eastAsia="Arial Unicode MS" w:hAnsi="Arial" w:cs="Arial"/>
                <w:color w:val="000000"/>
                <w:sz w:val="20"/>
                <w:szCs w:val="20"/>
              </w:rPr>
            </w:pPr>
          </w:p>
        </w:tc>
        <w:tc>
          <w:tcPr>
            <w:tcW w:w="1757" w:type="dxa"/>
            <w:tcBorders>
              <w:top w:val="single" w:sz="4" w:space="0" w:color="008080"/>
              <w:left w:val="single" w:sz="4" w:space="0" w:color="008080"/>
              <w:bottom w:val="single" w:sz="4" w:space="0" w:color="008080"/>
              <w:right w:val="single" w:sz="4" w:space="0" w:color="008080"/>
            </w:tcBorders>
          </w:tcPr>
          <w:p w:rsidR="00AD353D" w:rsidRPr="00076CE1" w:rsidRDefault="00E56C9A" w:rsidP="00501D17">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30.</w:t>
            </w:r>
            <w:r w:rsidRPr="00076CE1">
              <w:rPr>
                <w:rFonts w:ascii="Arial" w:eastAsia="Arial Unicode MS" w:hAnsi="Arial" w:cs="Arial"/>
                <w:color w:val="000000"/>
                <w:sz w:val="20"/>
                <w:szCs w:val="20"/>
              </w:rPr>
              <w:t>7</w:t>
            </w:r>
          </w:p>
        </w:tc>
        <w:tc>
          <w:tcPr>
            <w:tcW w:w="1690"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AD353D" w:rsidRPr="00076CE1" w:rsidRDefault="00E56C9A" w:rsidP="00AD353D">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Total financial assets</w:t>
            </w:r>
          </w:p>
        </w:tc>
        <w:tc>
          <w:tcPr>
            <w:tcW w:w="1590"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AD353D" w:rsidRPr="00076CE1" w:rsidRDefault="00E56C9A" w:rsidP="00104AD4">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6,</w:t>
            </w:r>
            <w:r>
              <w:rPr>
                <w:rFonts w:ascii="Arial" w:eastAsia="Arial Unicode MS" w:hAnsi="Arial" w:cs="Arial"/>
                <w:b/>
                <w:color w:val="000000"/>
                <w:sz w:val="20"/>
                <w:szCs w:val="20"/>
              </w:rPr>
              <w:t>498.1</w:t>
            </w:r>
          </w:p>
        </w:tc>
        <w:tc>
          <w:tcPr>
            <w:tcW w:w="1757"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AD353D" w:rsidRPr="00076CE1" w:rsidRDefault="00E56C9A" w:rsidP="00501D17">
            <w:pPr>
              <w:tabs>
                <w:tab w:val="left" w:pos="1080"/>
              </w:tabs>
              <w:autoSpaceDE w:val="0"/>
              <w:autoSpaceDN w:val="0"/>
              <w:adjustRightInd w:val="0"/>
              <w:jc w:val="right"/>
              <w:rPr>
                <w:rFonts w:ascii="Arial" w:eastAsia="Arial Unicode MS" w:hAnsi="Arial" w:cs="Arial"/>
                <w:b/>
                <w:color w:val="000000"/>
                <w:sz w:val="20"/>
                <w:szCs w:val="20"/>
              </w:rPr>
            </w:pPr>
            <w:r>
              <w:rPr>
                <w:rFonts w:ascii="Arial" w:eastAsia="Arial Unicode MS" w:hAnsi="Arial" w:cs="Arial"/>
                <w:b/>
                <w:color w:val="000000"/>
                <w:sz w:val="20"/>
                <w:szCs w:val="20"/>
              </w:rPr>
              <w:t>87.0</w:t>
            </w:r>
          </w:p>
        </w:tc>
        <w:tc>
          <w:tcPr>
            <w:tcW w:w="1690"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AD353D" w:rsidRPr="00076CE1" w:rsidRDefault="00E56C9A" w:rsidP="00AD353D">
            <w:pPr>
              <w:tabs>
                <w:tab w:val="left" w:pos="1080"/>
              </w:tabs>
              <w:autoSpaceDE w:val="0"/>
              <w:autoSpaceDN w:val="0"/>
              <w:adjustRightInd w:val="0"/>
              <w:jc w:val="right"/>
              <w:rPr>
                <w:rFonts w:ascii="Arial" w:eastAsia="Arial Unicode MS" w:hAnsi="Arial" w:cs="Arial"/>
                <w:b/>
                <w:color w:val="000000"/>
                <w:sz w:val="20"/>
                <w:szCs w:val="20"/>
              </w:rPr>
            </w:pPr>
          </w:p>
        </w:tc>
      </w:tr>
      <w:tr w:rsidR="00B368D6" w:rsidTr="00105290">
        <w:trPr>
          <w:trHeight w:val="431"/>
        </w:trPr>
        <w:tc>
          <w:tcPr>
            <w:tcW w:w="4551"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AD353D" w:rsidRPr="00076CE1" w:rsidRDefault="00E56C9A" w:rsidP="00AD353D">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Financial liabilities</w:t>
            </w:r>
          </w:p>
        </w:tc>
        <w:tc>
          <w:tcPr>
            <w:tcW w:w="1590"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AD353D" w:rsidRPr="00076CE1" w:rsidRDefault="00E56C9A" w:rsidP="00AD353D">
            <w:pPr>
              <w:tabs>
                <w:tab w:val="left" w:pos="1080"/>
              </w:tabs>
              <w:autoSpaceDE w:val="0"/>
              <w:autoSpaceDN w:val="0"/>
              <w:adjustRightInd w:val="0"/>
              <w:jc w:val="right"/>
              <w:rPr>
                <w:rFonts w:ascii="Arial" w:eastAsia="Arial Unicode MS" w:hAnsi="Arial" w:cs="Arial"/>
                <w:b/>
                <w:color w:val="000000"/>
                <w:sz w:val="20"/>
                <w:szCs w:val="20"/>
              </w:rPr>
            </w:pPr>
          </w:p>
        </w:tc>
        <w:tc>
          <w:tcPr>
            <w:tcW w:w="1757"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AD353D" w:rsidRPr="00076CE1" w:rsidRDefault="00E56C9A" w:rsidP="00AD353D">
            <w:pPr>
              <w:tabs>
                <w:tab w:val="left" w:pos="1080"/>
              </w:tabs>
              <w:autoSpaceDE w:val="0"/>
              <w:autoSpaceDN w:val="0"/>
              <w:adjustRightInd w:val="0"/>
              <w:jc w:val="right"/>
              <w:rPr>
                <w:rFonts w:ascii="Arial" w:eastAsia="Arial Unicode MS" w:hAnsi="Arial" w:cs="Arial"/>
                <w:b/>
                <w:color w:val="000000"/>
                <w:sz w:val="20"/>
                <w:szCs w:val="20"/>
              </w:rPr>
            </w:pPr>
          </w:p>
        </w:tc>
        <w:tc>
          <w:tcPr>
            <w:tcW w:w="1690"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AD353D" w:rsidRPr="00076CE1" w:rsidRDefault="00E56C9A" w:rsidP="00AD353D">
            <w:pPr>
              <w:tabs>
                <w:tab w:val="left" w:pos="1080"/>
              </w:tabs>
              <w:autoSpaceDE w:val="0"/>
              <w:autoSpaceDN w:val="0"/>
              <w:adjustRightInd w:val="0"/>
              <w:jc w:val="right"/>
              <w:rPr>
                <w:rFonts w:ascii="Arial" w:eastAsia="Arial Unicode MS" w:hAnsi="Arial" w:cs="Arial"/>
                <w:b/>
                <w:color w:val="000000"/>
                <w:sz w:val="20"/>
                <w:szCs w:val="20"/>
              </w:rPr>
            </w:pPr>
          </w:p>
        </w:tc>
      </w:tr>
      <w:tr w:rsidR="00B368D6" w:rsidTr="00105290">
        <w:trPr>
          <w:trHeight w:val="431"/>
        </w:trPr>
        <w:tc>
          <w:tcPr>
            <w:tcW w:w="4551"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Creditors</w:t>
            </w:r>
          </w:p>
        </w:tc>
        <w:tc>
          <w:tcPr>
            <w:tcW w:w="1590"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right"/>
              <w:rPr>
                <w:rFonts w:ascii="Arial" w:eastAsia="Arial Unicode MS" w:hAnsi="Arial" w:cs="Arial"/>
                <w:color w:val="000000"/>
                <w:sz w:val="20"/>
                <w:szCs w:val="20"/>
              </w:rPr>
            </w:pPr>
          </w:p>
        </w:tc>
        <w:tc>
          <w:tcPr>
            <w:tcW w:w="1757" w:type="dxa"/>
            <w:tcBorders>
              <w:top w:val="single" w:sz="4" w:space="0" w:color="008080"/>
              <w:left w:val="single" w:sz="4" w:space="0" w:color="008080"/>
              <w:bottom w:val="single" w:sz="4" w:space="0" w:color="008080"/>
              <w:right w:val="single" w:sz="4" w:space="0" w:color="008080"/>
            </w:tcBorders>
          </w:tcPr>
          <w:p w:rsidR="00AD353D" w:rsidRPr="00076CE1" w:rsidRDefault="00E56C9A" w:rsidP="00AD353D">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Borders>
              <w:top w:val="single" w:sz="4" w:space="0" w:color="008080"/>
              <w:left w:val="single" w:sz="4" w:space="0" w:color="008080"/>
              <w:bottom w:val="single" w:sz="4" w:space="0" w:color="008080"/>
              <w:right w:val="single" w:sz="4" w:space="0" w:color="008080"/>
            </w:tcBorders>
          </w:tcPr>
          <w:p w:rsidR="00AD353D" w:rsidRPr="00076CE1" w:rsidRDefault="00E56C9A" w:rsidP="005654FC">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12.8</w:t>
            </w:r>
          </w:p>
        </w:tc>
      </w:tr>
      <w:tr w:rsidR="00B368D6" w:rsidTr="00105290">
        <w:trPr>
          <w:trHeight w:val="431"/>
        </w:trPr>
        <w:tc>
          <w:tcPr>
            <w:tcW w:w="4551"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AD353D" w:rsidRPr="00076CE1" w:rsidRDefault="00E56C9A" w:rsidP="00AD353D">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Total financial liabilities</w:t>
            </w:r>
          </w:p>
        </w:tc>
        <w:tc>
          <w:tcPr>
            <w:tcW w:w="1590"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AD353D" w:rsidRPr="00076CE1" w:rsidRDefault="00E56C9A" w:rsidP="00AD353D">
            <w:pPr>
              <w:tabs>
                <w:tab w:val="left" w:pos="1080"/>
              </w:tabs>
              <w:autoSpaceDE w:val="0"/>
              <w:autoSpaceDN w:val="0"/>
              <w:adjustRightInd w:val="0"/>
              <w:jc w:val="right"/>
              <w:rPr>
                <w:rFonts w:ascii="Arial" w:eastAsia="Arial Unicode MS" w:hAnsi="Arial" w:cs="Arial"/>
                <w:b/>
                <w:color w:val="000000"/>
                <w:sz w:val="20"/>
                <w:szCs w:val="20"/>
              </w:rPr>
            </w:pPr>
          </w:p>
        </w:tc>
        <w:tc>
          <w:tcPr>
            <w:tcW w:w="1757"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AD353D" w:rsidRPr="00076CE1" w:rsidRDefault="00E56C9A" w:rsidP="00AD353D">
            <w:pPr>
              <w:tabs>
                <w:tab w:val="left" w:pos="1080"/>
              </w:tabs>
              <w:autoSpaceDE w:val="0"/>
              <w:autoSpaceDN w:val="0"/>
              <w:adjustRightInd w:val="0"/>
              <w:jc w:val="right"/>
              <w:rPr>
                <w:rFonts w:ascii="Arial" w:eastAsia="Arial Unicode MS" w:hAnsi="Arial" w:cs="Arial"/>
                <w:b/>
                <w:color w:val="000000"/>
                <w:sz w:val="20"/>
                <w:szCs w:val="20"/>
              </w:rPr>
            </w:pPr>
          </w:p>
        </w:tc>
        <w:tc>
          <w:tcPr>
            <w:tcW w:w="1690" w:type="dxa"/>
            <w:tcBorders>
              <w:top w:val="single" w:sz="4" w:space="0" w:color="008080"/>
              <w:left w:val="single" w:sz="4" w:space="0" w:color="008080"/>
              <w:bottom w:val="single" w:sz="4" w:space="0" w:color="008080"/>
              <w:right w:val="single" w:sz="4" w:space="0" w:color="008080"/>
            </w:tcBorders>
            <w:shd w:val="clear" w:color="auto" w:fill="E7E6E6" w:themeFill="background2"/>
          </w:tcPr>
          <w:p w:rsidR="00AD353D" w:rsidRPr="00076CE1" w:rsidRDefault="00E56C9A" w:rsidP="005654FC">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12.8</w:t>
            </w:r>
          </w:p>
        </w:tc>
      </w:tr>
    </w:tbl>
    <w:p w:rsidR="00DC78E9" w:rsidRPr="00076CE1" w:rsidRDefault="00E56C9A" w:rsidP="00DC78E9">
      <w:pPr>
        <w:autoSpaceDE w:val="0"/>
        <w:autoSpaceDN w:val="0"/>
        <w:adjustRightInd w:val="0"/>
        <w:contextualSpacing/>
        <w:jc w:val="both"/>
        <w:rPr>
          <w:rFonts w:ascii="Arial" w:eastAsia="Arial Unicode MS" w:hAnsi="Arial" w:cs="Arial"/>
          <w:color w:val="000000"/>
          <w:sz w:val="22"/>
          <w:szCs w:val="22"/>
        </w:rPr>
      </w:pPr>
    </w:p>
    <w:tbl>
      <w:tblPr>
        <w:tblStyle w:val="TableGrid12"/>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4551"/>
        <w:gridCol w:w="1590"/>
        <w:gridCol w:w="1757"/>
        <w:gridCol w:w="1690"/>
      </w:tblGrid>
      <w:tr w:rsidR="00B368D6" w:rsidTr="00105290">
        <w:trPr>
          <w:trHeight w:val="431"/>
        </w:trPr>
        <w:tc>
          <w:tcPr>
            <w:tcW w:w="4551" w:type="dxa"/>
            <w:tcBorders>
              <w:bottom w:val="nil"/>
            </w:tcBorders>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31 March 2016</w:t>
            </w:r>
          </w:p>
        </w:tc>
        <w:tc>
          <w:tcPr>
            <w:tcW w:w="1590" w:type="dxa"/>
            <w:shd w:val="clear" w:color="auto" w:fill="E7E6E6" w:themeFill="background2"/>
          </w:tcPr>
          <w:p w:rsidR="00DC78E9" w:rsidRPr="00076CE1" w:rsidRDefault="00E56C9A" w:rsidP="003A02F4">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Fair value through profit or loss</w:t>
            </w:r>
          </w:p>
        </w:tc>
        <w:tc>
          <w:tcPr>
            <w:tcW w:w="1757" w:type="dxa"/>
            <w:shd w:val="clear" w:color="auto" w:fill="E7E6E6" w:themeFill="background2"/>
          </w:tcPr>
          <w:p w:rsidR="00230076" w:rsidRPr="00076CE1" w:rsidRDefault="00E56C9A" w:rsidP="003A02F4">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 xml:space="preserve">Loans </w:t>
            </w:r>
          </w:p>
          <w:p w:rsidR="00230076" w:rsidRPr="00076CE1" w:rsidRDefault="00E56C9A" w:rsidP="003A02F4">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 xml:space="preserve">and </w:t>
            </w:r>
          </w:p>
          <w:p w:rsidR="00DC78E9" w:rsidRPr="00076CE1" w:rsidRDefault="00E56C9A" w:rsidP="003A02F4">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receivables</w:t>
            </w:r>
          </w:p>
        </w:tc>
        <w:tc>
          <w:tcPr>
            <w:tcW w:w="1690" w:type="dxa"/>
            <w:shd w:val="clear" w:color="auto" w:fill="E7E6E6" w:themeFill="background2"/>
          </w:tcPr>
          <w:p w:rsidR="00DC78E9" w:rsidRPr="00076CE1" w:rsidRDefault="00E56C9A" w:rsidP="003A02F4">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 xml:space="preserve">Financial liabilities </w:t>
            </w:r>
            <w:r w:rsidRPr="00076CE1">
              <w:rPr>
                <w:rFonts w:ascii="Arial" w:eastAsia="Arial Unicode MS" w:hAnsi="Arial" w:cs="Arial"/>
                <w:b/>
                <w:color w:val="000000"/>
                <w:sz w:val="20"/>
                <w:szCs w:val="20"/>
              </w:rPr>
              <w:t>at amortised cost</w:t>
            </w:r>
          </w:p>
        </w:tc>
      </w:tr>
      <w:tr w:rsidR="00B368D6" w:rsidTr="00105290">
        <w:trPr>
          <w:trHeight w:val="431"/>
        </w:trPr>
        <w:tc>
          <w:tcPr>
            <w:tcW w:w="4551" w:type="dxa"/>
            <w:tcBorders>
              <w:top w:val="nil"/>
            </w:tcBorders>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color w:val="000000"/>
                <w:sz w:val="20"/>
                <w:szCs w:val="20"/>
              </w:rPr>
            </w:pPr>
          </w:p>
        </w:tc>
        <w:tc>
          <w:tcPr>
            <w:tcW w:w="1590"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757"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690"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r>
      <w:tr w:rsidR="00B368D6" w:rsidTr="00105290">
        <w:trPr>
          <w:trHeight w:val="431"/>
        </w:trPr>
        <w:tc>
          <w:tcPr>
            <w:tcW w:w="4551"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Financial assets</w:t>
            </w:r>
          </w:p>
        </w:tc>
        <w:tc>
          <w:tcPr>
            <w:tcW w:w="1590"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757"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690"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Fixed interest securities</w:t>
            </w:r>
          </w:p>
        </w:tc>
        <w:tc>
          <w:tcPr>
            <w:tcW w:w="15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123.1</w:t>
            </w:r>
          </w:p>
        </w:tc>
        <w:tc>
          <w:tcPr>
            <w:tcW w:w="1757"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Equities</w:t>
            </w:r>
          </w:p>
        </w:tc>
        <w:tc>
          <w:tcPr>
            <w:tcW w:w="15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2,069.9</w:t>
            </w:r>
          </w:p>
        </w:tc>
        <w:tc>
          <w:tcPr>
            <w:tcW w:w="1757"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Index linked securities</w:t>
            </w:r>
          </w:p>
        </w:tc>
        <w:tc>
          <w:tcPr>
            <w:tcW w:w="15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63.7</w:t>
            </w:r>
          </w:p>
        </w:tc>
        <w:tc>
          <w:tcPr>
            <w:tcW w:w="1757"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Pooled investment vehicles</w:t>
            </w:r>
          </w:p>
        </w:tc>
        <w:tc>
          <w:tcPr>
            <w:tcW w:w="15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2,935.6</w:t>
            </w:r>
          </w:p>
        </w:tc>
        <w:tc>
          <w:tcPr>
            <w:tcW w:w="1757"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Derivative contracts</w:t>
            </w:r>
          </w:p>
        </w:tc>
        <w:tc>
          <w:tcPr>
            <w:tcW w:w="15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294.5</w:t>
            </w:r>
          </w:p>
        </w:tc>
        <w:tc>
          <w:tcPr>
            <w:tcW w:w="1757"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lastRenderedPageBreak/>
              <w:t>Cash deposits</w:t>
            </w:r>
          </w:p>
        </w:tc>
        <w:tc>
          <w:tcPr>
            <w:tcW w:w="15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757"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210.3</w:t>
            </w:r>
          </w:p>
        </w:tc>
        <w:tc>
          <w:tcPr>
            <w:tcW w:w="16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Investment accruals</w:t>
            </w:r>
          </w:p>
        </w:tc>
        <w:tc>
          <w:tcPr>
            <w:tcW w:w="15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13.1</w:t>
            </w:r>
          </w:p>
        </w:tc>
        <w:tc>
          <w:tcPr>
            <w:tcW w:w="1757"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Debtors</w:t>
            </w:r>
          </w:p>
        </w:tc>
        <w:tc>
          <w:tcPr>
            <w:tcW w:w="15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757"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27.7</w:t>
            </w:r>
          </w:p>
        </w:tc>
        <w:tc>
          <w:tcPr>
            <w:tcW w:w="16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Total financial assets</w:t>
            </w:r>
          </w:p>
        </w:tc>
        <w:tc>
          <w:tcPr>
            <w:tcW w:w="1590"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5,499.9</w:t>
            </w:r>
          </w:p>
        </w:tc>
        <w:tc>
          <w:tcPr>
            <w:tcW w:w="1757"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238.0</w:t>
            </w:r>
          </w:p>
        </w:tc>
        <w:tc>
          <w:tcPr>
            <w:tcW w:w="1690"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p>
        </w:tc>
      </w:tr>
      <w:tr w:rsidR="00B368D6" w:rsidTr="00105290">
        <w:trPr>
          <w:trHeight w:val="431"/>
        </w:trPr>
        <w:tc>
          <w:tcPr>
            <w:tcW w:w="4551"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Financial liabilities</w:t>
            </w:r>
          </w:p>
        </w:tc>
        <w:tc>
          <w:tcPr>
            <w:tcW w:w="1590"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p>
        </w:tc>
        <w:tc>
          <w:tcPr>
            <w:tcW w:w="1757"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p>
        </w:tc>
        <w:tc>
          <w:tcPr>
            <w:tcW w:w="1690"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p>
        </w:tc>
      </w:tr>
      <w:tr w:rsidR="00B368D6" w:rsidTr="00105290">
        <w:trPr>
          <w:trHeight w:val="431"/>
        </w:trPr>
        <w:tc>
          <w:tcPr>
            <w:tcW w:w="455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Derivative contracts</w:t>
            </w:r>
          </w:p>
        </w:tc>
        <w:tc>
          <w:tcPr>
            <w:tcW w:w="15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291.0</w:t>
            </w:r>
          </w:p>
        </w:tc>
        <w:tc>
          <w:tcPr>
            <w:tcW w:w="1757"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r>
      <w:tr w:rsidR="00B368D6" w:rsidTr="00105290">
        <w:trPr>
          <w:trHeight w:val="431"/>
        </w:trPr>
        <w:tc>
          <w:tcPr>
            <w:tcW w:w="455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Creditors</w:t>
            </w:r>
          </w:p>
        </w:tc>
        <w:tc>
          <w:tcPr>
            <w:tcW w:w="15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757"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69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18.8</w:t>
            </w:r>
          </w:p>
        </w:tc>
      </w:tr>
      <w:tr w:rsidR="00B368D6" w:rsidTr="00105290">
        <w:trPr>
          <w:trHeight w:val="431"/>
        </w:trPr>
        <w:tc>
          <w:tcPr>
            <w:tcW w:w="4551"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Total financial liabilities</w:t>
            </w:r>
          </w:p>
        </w:tc>
        <w:tc>
          <w:tcPr>
            <w:tcW w:w="1590"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291.0</w:t>
            </w:r>
          </w:p>
        </w:tc>
        <w:tc>
          <w:tcPr>
            <w:tcW w:w="1757"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p>
        </w:tc>
        <w:tc>
          <w:tcPr>
            <w:tcW w:w="1690"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18.8</w:t>
            </w:r>
          </w:p>
        </w:tc>
      </w:tr>
    </w:tbl>
    <w:p w:rsidR="00DC78E9" w:rsidRPr="00076CE1" w:rsidRDefault="00E56C9A" w:rsidP="00DC78E9">
      <w:pPr>
        <w:autoSpaceDE w:val="0"/>
        <w:autoSpaceDN w:val="0"/>
        <w:adjustRightInd w:val="0"/>
        <w:contextualSpacing/>
        <w:jc w:val="both"/>
        <w:rPr>
          <w:rFonts w:ascii="Arial" w:eastAsia="Arial Unicode MS" w:hAnsi="Arial" w:cs="Arial"/>
          <w:color w:val="000000"/>
          <w:sz w:val="22"/>
          <w:szCs w:val="22"/>
        </w:rPr>
      </w:pPr>
    </w:p>
    <w:p w:rsidR="00DC78E9" w:rsidRPr="00076CE1" w:rsidRDefault="00E56C9A" w:rsidP="003A02F4">
      <w:pPr>
        <w:autoSpaceDE w:val="0"/>
        <w:autoSpaceDN w:val="0"/>
        <w:adjustRightInd w:val="0"/>
        <w:contextualSpacing/>
        <w:jc w:val="both"/>
        <w:rPr>
          <w:rFonts w:ascii="Arial" w:eastAsia="Arial Unicode MS" w:hAnsi="Arial" w:cs="Arial"/>
          <w:b/>
          <w:bCs/>
          <w:color w:val="000000"/>
          <w:sz w:val="32"/>
          <w:szCs w:val="22"/>
        </w:rPr>
      </w:pPr>
      <w:r w:rsidRPr="00076CE1">
        <w:rPr>
          <w:rFonts w:ascii="Arial" w:eastAsia="Arial Unicode MS" w:hAnsi="Arial" w:cs="Arial"/>
          <w:b/>
          <w:bCs/>
          <w:color w:val="000000"/>
          <w:sz w:val="32"/>
          <w:szCs w:val="22"/>
        </w:rPr>
        <w:t>1</w:t>
      </w:r>
      <w:r>
        <w:rPr>
          <w:rFonts w:ascii="Arial" w:eastAsia="Arial Unicode MS" w:hAnsi="Arial" w:cs="Arial"/>
          <w:b/>
          <w:bCs/>
          <w:color w:val="000000"/>
          <w:sz w:val="32"/>
          <w:szCs w:val="22"/>
        </w:rPr>
        <w:t>6</w:t>
      </w:r>
      <w:r w:rsidRPr="00076CE1">
        <w:rPr>
          <w:rFonts w:ascii="Arial" w:eastAsia="Arial Unicode MS" w:hAnsi="Arial" w:cs="Arial"/>
          <w:b/>
          <w:bCs/>
          <w:color w:val="000000"/>
          <w:sz w:val="32"/>
          <w:szCs w:val="22"/>
        </w:rPr>
        <w:t>. NET</w:t>
      </w:r>
      <w:r w:rsidRPr="00076CE1">
        <w:rPr>
          <w:rFonts w:ascii="Arial" w:eastAsia="Arial Unicode MS" w:hAnsi="Arial" w:cs="Arial"/>
          <w:b/>
          <w:bCs/>
          <w:color w:val="000000"/>
          <w:sz w:val="32"/>
          <w:szCs w:val="22"/>
        </w:rPr>
        <w:t xml:space="preserve"> GAINS AND LOSSES ON FINANCIAL INSTRUMENTS</w:t>
      </w:r>
    </w:p>
    <w:p w:rsidR="00DC78E9" w:rsidRPr="00076CE1" w:rsidRDefault="00E56C9A" w:rsidP="00DC78E9">
      <w:pPr>
        <w:autoSpaceDE w:val="0"/>
        <w:autoSpaceDN w:val="0"/>
        <w:adjustRightInd w:val="0"/>
        <w:ind w:left="862"/>
        <w:jc w:val="both"/>
        <w:rPr>
          <w:rFonts w:ascii="Arial" w:eastAsia="Arial Unicode MS" w:hAnsi="Arial" w:cs="Arial"/>
          <w:b/>
          <w:bCs/>
          <w:color w:val="000000"/>
          <w:sz w:val="22"/>
          <w:szCs w:val="22"/>
        </w:rPr>
      </w:pPr>
    </w:p>
    <w:p w:rsidR="00DC78E9" w:rsidRPr="00076CE1" w:rsidRDefault="00E56C9A" w:rsidP="00D166C7">
      <w:pPr>
        <w:autoSpaceDE w:val="0"/>
        <w:autoSpaceDN w:val="0"/>
        <w:adjustRightInd w:val="0"/>
        <w:jc w:val="both"/>
        <w:rPr>
          <w:rFonts w:ascii="Arial" w:eastAsia="Arial Unicode MS" w:hAnsi="Arial" w:cs="Arial"/>
          <w:bCs/>
          <w:color w:val="000000"/>
          <w:sz w:val="22"/>
          <w:szCs w:val="22"/>
        </w:rPr>
      </w:pPr>
      <w:r w:rsidRPr="00D166C7">
        <w:rPr>
          <w:rFonts w:ascii="Arial" w:eastAsia="Arial Unicode MS" w:hAnsi="Arial" w:cs="Arial"/>
          <w:bCs/>
          <w:color w:val="000000"/>
          <w:sz w:val="22"/>
          <w:szCs w:val="22"/>
        </w:rPr>
        <w:t xml:space="preserve">The net gain on financial assets </w:t>
      </w:r>
      <w:r w:rsidRPr="00D166C7">
        <w:rPr>
          <w:rFonts w:ascii="Arial" w:eastAsia="Arial Unicode MS" w:hAnsi="Arial" w:cs="Arial"/>
          <w:bCs/>
          <w:color w:val="000000"/>
          <w:sz w:val="22"/>
          <w:szCs w:val="22"/>
        </w:rPr>
        <w:t>at fair value through profit and loss</w:t>
      </w:r>
      <w:r w:rsidRPr="00D166C7">
        <w:rPr>
          <w:rFonts w:ascii="Arial" w:eastAsia="Arial Unicode MS" w:hAnsi="Arial" w:cs="Arial"/>
          <w:bCs/>
          <w:color w:val="000000"/>
          <w:sz w:val="22"/>
          <w:szCs w:val="22"/>
        </w:rPr>
        <w:t xml:space="preserve"> was</w:t>
      </w:r>
      <w:r w:rsidRPr="00D166C7">
        <w:rPr>
          <w:rFonts w:ascii="Arial" w:eastAsia="Arial Unicode MS" w:hAnsi="Arial" w:cs="Arial"/>
          <w:bCs/>
          <w:color w:val="000000"/>
          <w:sz w:val="22"/>
          <w:szCs w:val="22"/>
        </w:rPr>
        <w:t xml:space="preserve"> </w:t>
      </w:r>
      <w:r w:rsidRPr="00D166C7">
        <w:rPr>
          <w:rFonts w:ascii="Arial" w:eastAsia="Arial Unicode MS" w:hAnsi="Arial" w:cs="Arial"/>
          <w:bCs/>
          <w:color w:val="000000"/>
          <w:sz w:val="22"/>
          <w:szCs w:val="22"/>
        </w:rPr>
        <w:t>£1,</w:t>
      </w:r>
      <w:r w:rsidRPr="00D166C7">
        <w:rPr>
          <w:rFonts w:ascii="Arial" w:eastAsia="Arial Unicode MS" w:hAnsi="Arial" w:cs="Arial"/>
          <w:bCs/>
          <w:color w:val="000000"/>
          <w:sz w:val="22"/>
          <w:szCs w:val="22"/>
        </w:rPr>
        <w:t>133.2</w:t>
      </w:r>
      <w:r w:rsidRPr="00D166C7">
        <w:rPr>
          <w:rFonts w:ascii="Arial" w:eastAsia="Arial Unicode MS" w:hAnsi="Arial" w:cs="Arial"/>
          <w:bCs/>
          <w:color w:val="000000"/>
          <w:sz w:val="22"/>
          <w:szCs w:val="22"/>
        </w:rPr>
        <w:t xml:space="preserve"> (</w:t>
      </w:r>
      <w:r w:rsidRPr="00D166C7">
        <w:rPr>
          <w:rFonts w:ascii="Arial" w:eastAsia="Arial Unicode MS" w:hAnsi="Arial" w:cs="Arial"/>
          <w:bCs/>
          <w:color w:val="000000"/>
          <w:sz w:val="22"/>
          <w:szCs w:val="22"/>
        </w:rPr>
        <w:t>2015/16: £</w:t>
      </w:r>
      <w:r w:rsidRPr="00D166C7">
        <w:rPr>
          <w:rFonts w:ascii="Arial" w:eastAsia="Arial Unicode MS" w:hAnsi="Arial" w:cs="Arial"/>
          <w:bCs/>
          <w:color w:val="000000"/>
          <w:sz w:val="22"/>
          <w:szCs w:val="22"/>
        </w:rPr>
        <w:t>165.9m after adjusting for directly owned property</w:t>
      </w:r>
      <w:r w:rsidRPr="00D166C7">
        <w:rPr>
          <w:rFonts w:ascii="Arial" w:eastAsia="Arial Unicode MS" w:hAnsi="Arial" w:cs="Arial"/>
          <w:bCs/>
          <w:color w:val="000000"/>
          <w:sz w:val="22"/>
          <w:szCs w:val="22"/>
        </w:rPr>
        <w:t>)</w:t>
      </w:r>
      <w:r w:rsidRPr="00D166C7">
        <w:rPr>
          <w:rFonts w:ascii="Arial" w:eastAsia="Arial Unicode MS" w:hAnsi="Arial" w:cs="Arial"/>
          <w:bCs/>
          <w:color w:val="000000"/>
          <w:sz w:val="22"/>
          <w:szCs w:val="22"/>
        </w:rPr>
        <w:t>.</w:t>
      </w:r>
    </w:p>
    <w:p w:rsidR="00DC78E9" w:rsidRPr="00076CE1" w:rsidRDefault="00E56C9A" w:rsidP="00DC78E9">
      <w:pPr>
        <w:autoSpaceDE w:val="0"/>
        <w:autoSpaceDN w:val="0"/>
        <w:adjustRightInd w:val="0"/>
        <w:ind w:left="709"/>
        <w:jc w:val="both"/>
        <w:rPr>
          <w:rFonts w:ascii="Arial" w:eastAsia="Arial Unicode MS" w:hAnsi="Arial" w:cs="Arial"/>
          <w:b/>
          <w:bCs/>
          <w:color w:val="000000"/>
          <w:sz w:val="22"/>
          <w:szCs w:val="22"/>
        </w:rPr>
      </w:pPr>
    </w:p>
    <w:p w:rsidR="00DC78E9" w:rsidRPr="00076CE1" w:rsidRDefault="00E56C9A" w:rsidP="003A02F4">
      <w:pPr>
        <w:autoSpaceDE w:val="0"/>
        <w:autoSpaceDN w:val="0"/>
        <w:adjustRightInd w:val="0"/>
        <w:contextualSpacing/>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7</w:t>
      </w:r>
      <w:r w:rsidRPr="00076CE1">
        <w:rPr>
          <w:rFonts w:ascii="Arial" w:eastAsia="Arial Unicode MS" w:hAnsi="Arial" w:cs="Arial"/>
          <w:b/>
          <w:color w:val="000000"/>
          <w:sz w:val="32"/>
          <w:szCs w:val="22"/>
        </w:rPr>
        <w:t>. FINANCIAL</w:t>
      </w:r>
      <w:r w:rsidRPr="00076CE1">
        <w:rPr>
          <w:rFonts w:ascii="Arial" w:eastAsia="Arial Unicode MS" w:hAnsi="Arial" w:cs="Arial"/>
          <w:b/>
          <w:color w:val="000000"/>
          <w:sz w:val="32"/>
          <w:szCs w:val="22"/>
        </w:rPr>
        <w:t xml:space="preserve"> INSTRUMENTS – </w:t>
      </w:r>
      <w:r w:rsidRPr="00076CE1">
        <w:rPr>
          <w:rFonts w:ascii="Arial" w:eastAsia="Arial Unicode MS" w:hAnsi="Arial" w:cs="Arial"/>
          <w:b/>
          <w:color w:val="000000"/>
          <w:sz w:val="32"/>
          <w:szCs w:val="22"/>
        </w:rPr>
        <w:t>FAIR VALUE HIERARCHY</w:t>
      </w:r>
    </w:p>
    <w:p w:rsidR="00DC78E9" w:rsidRPr="00076CE1" w:rsidRDefault="00E56C9A" w:rsidP="00DC78E9">
      <w:pPr>
        <w:autoSpaceDE w:val="0"/>
        <w:autoSpaceDN w:val="0"/>
        <w:adjustRightInd w:val="0"/>
        <w:ind w:left="720"/>
        <w:contextualSpacing/>
        <w:jc w:val="both"/>
        <w:rPr>
          <w:rFonts w:ascii="Arial" w:eastAsia="Arial Unicode MS" w:hAnsi="Arial" w:cs="Arial"/>
          <w:b/>
          <w:color w:val="000000"/>
          <w:szCs w:val="22"/>
        </w:rPr>
      </w:pPr>
    </w:p>
    <w:p w:rsidR="00DC78E9" w:rsidRPr="00076CE1" w:rsidRDefault="00E56C9A" w:rsidP="00DC78E9">
      <w:pPr>
        <w:autoSpaceDE w:val="0"/>
        <w:autoSpaceDN w:val="0"/>
        <w:adjustRightInd w:val="0"/>
        <w:ind w:left="720" w:hanging="72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7</w:t>
      </w:r>
      <w:r w:rsidRPr="00076CE1">
        <w:rPr>
          <w:rFonts w:ascii="Arial" w:eastAsia="Arial Unicode MS" w:hAnsi="Arial" w:cs="Arial"/>
          <w:b/>
          <w:color w:val="000000"/>
          <w:sz w:val="32"/>
          <w:szCs w:val="22"/>
        </w:rPr>
        <w:t>.1 Valuation of financial instruments carried at fair value</w:t>
      </w:r>
    </w:p>
    <w:p w:rsidR="00DC78E9" w:rsidRPr="00076CE1" w:rsidRDefault="00E56C9A" w:rsidP="00DC78E9">
      <w:pPr>
        <w:autoSpaceDE w:val="0"/>
        <w:autoSpaceDN w:val="0"/>
        <w:adjustRightInd w:val="0"/>
        <w:ind w:left="720"/>
        <w:jc w:val="both"/>
        <w:rPr>
          <w:rFonts w:ascii="Arial" w:eastAsia="Arial Unicode MS" w:hAnsi="Arial" w:cs="Arial"/>
          <w:b/>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The valuation of financial instruments has been classified into three levels according to </w:t>
      </w:r>
      <w:r w:rsidRPr="00076CE1">
        <w:rPr>
          <w:rFonts w:ascii="Arial" w:eastAsia="Arial Unicode MS" w:hAnsi="Arial" w:cs="Arial"/>
          <w:color w:val="000000"/>
          <w:sz w:val="22"/>
          <w:szCs w:val="22"/>
        </w:rPr>
        <w:t xml:space="preserve">the </w:t>
      </w:r>
      <w:r w:rsidRPr="00076CE1">
        <w:rPr>
          <w:rFonts w:ascii="Arial" w:eastAsia="Arial Unicode MS" w:hAnsi="Arial" w:cs="Arial"/>
          <w:color w:val="000000"/>
          <w:sz w:val="22"/>
          <w:szCs w:val="22"/>
        </w:rPr>
        <w:t>quality and reliability of information used to determine fair values.</w:t>
      </w:r>
      <w:r w:rsidRPr="00076CE1">
        <w:rPr>
          <w:rFonts w:ascii="Arial" w:eastAsia="Arial Unicode MS" w:hAnsi="Arial" w:cs="Arial"/>
          <w:color w:val="000000"/>
          <w:sz w:val="22"/>
          <w:szCs w:val="22"/>
        </w:rPr>
        <w:t xml:space="preserve">  Transfers between levels are recognised in the year in which they occur.</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 </w:t>
      </w:r>
    </w:p>
    <w:p w:rsidR="00DC78E9" w:rsidRPr="00076CE1" w:rsidRDefault="00E56C9A" w:rsidP="00DC78E9">
      <w:pPr>
        <w:autoSpaceDE w:val="0"/>
        <w:autoSpaceDN w:val="0"/>
        <w:adjustRightInd w:val="0"/>
        <w:ind w:left="720" w:hanging="72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7</w:t>
      </w:r>
      <w:r w:rsidRPr="00076CE1">
        <w:rPr>
          <w:rFonts w:ascii="Arial" w:eastAsia="Arial Unicode MS" w:hAnsi="Arial" w:cs="Arial"/>
          <w:b/>
          <w:color w:val="000000"/>
          <w:sz w:val="32"/>
          <w:szCs w:val="22"/>
        </w:rPr>
        <w:t>.1.1 Level 1</w:t>
      </w:r>
    </w:p>
    <w:p w:rsidR="00DC78E9" w:rsidRPr="00076CE1" w:rsidRDefault="00E56C9A" w:rsidP="00DC78E9">
      <w:pPr>
        <w:autoSpaceDE w:val="0"/>
        <w:autoSpaceDN w:val="0"/>
        <w:adjustRightInd w:val="0"/>
        <w:ind w:left="720"/>
        <w:jc w:val="both"/>
        <w:rPr>
          <w:rFonts w:ascii="Arial" w:eastAsia="Arial Unicode MS" w:hAnsi="Arial" w:cs="Arial"/>
          <w:b/>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Level 1 fair value measurements are those derived from unadjusted quoted prices in active markets for identical assets or liabilities.  Examples include quoted equity investments, unit trusts, UK pooled fixed income funds, overseas pooled fixed income fund</w:t>
      </w:r>
      <w:r w:rsidRPr="00076CE1">
        <w:rPr>
          <w:rFonts w:ascii="Arial" w:eastAsia="Arial Unicode MS" w:hAnsi="Arial" w:cs="Arial"/>
          <w:color w:val="000000"/>
          <w:sz w:val="22"/>
          <w:szCs w:val="22"/>
        </w:rPr>
        <w:t>s, UK and overseas quoted fixed interest securities.  Listed investments are shown at bid prices.  The bid value of the investment is based on the bid market quotation of the relevant stock exchange.</w:t>
      </w:r>
    </w:p>
    <w:p w:rsidR="00DC78E9" w:rsidRPr="00076CE1" w:rsidRDefault="00E56C9A" w:rsidP="00DC78E9">
      <w:pPr>
        <w:autoSpaceDE w:val="0"/>
        <w:autoSpaceDN w:val="0"/>
        <w:adjustRightInd w:val="0"/>
        <w:ind w:left="720"/>
        <w:jc w:val="both"/>
        <w:rPr>
          <w:rFonts w:ascii="Arial" w:eastAsia="Arial Unicode MS" w:hAnsi="Arial" w:cs="Arial"/>
          <w:b/>
          <w:color w:val="000000"/>
          <w:sz w:val="22"/>
          <w:szCs w:val="22"/>
        </w:rPr>
      </w:pPr>
    </w:p>
    <w:p w:rsidR="00DC78E9" w:rsidRPr="00076CE1" w:rsidRDefault="00E56C9A" w:rsidP="00DC78E9">
      <w:pPr>
        <w:autoSpaceDE w:val="0"/>
        <w:autoSpaceDN w:val="0"/>
        <w:adjustRightInd w:val="0"/>
        <w:ind w:left="720" w:hanging="72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7</w:t>
      </w:r>
      <w:r w:rsidRPr="00076CE1">
        <w:rPr>
          <w:rFonts w:ascii="Arial" w:eastAsia="Arial Unicode MS" w:hAnsi="Arial" w:cs="Arial"/>
          <w:b/>
          <w:color w:val="000000"/>
          <w:sz w:val="32"/>
          <w:szCs w:val="22"/>
        </w:rPr>
        <w:t>.1.2 Level 2</w:t>
      </w:r>
    </w:p>
    <w:p w:rsidR="00DC78E9" w:rsidRPr="00076CE1" w:rsidRDefault="00E56C9A" w:rsidP="00DC78E9">
      <w:pPr>
        <w:autoSpaceDE w:val="0"/>
        <w:autoSpaceDN w:val="0"/>
        <w:adjustRightInd w:val="0"/>
        <w:ind w:left="720"/>
        <w:jc w:val="both"/>
        <w:rPr>
          <w:rFonts w:ascii="Arial" w:eastAsia="Arial Unicode MS" w:hAnsi="Arial" w:cs="Arial"/>
          <w:b/>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Level 2 investments are those where quo</w:t>
      </w:r>
      <w:r w:rsidRPr="00076CE1">
        <w:rPr>
          <w:rFonts w:ascii="Arial" w:eastAsia="Arial Unicode MS" w:hAnsi="Arial" w:cs="Arial"/>
          <w:color w:val="000000"/>
          <w:sz w:val="22"/>
          <w:szCs w:val="22"/>
        </w:rPr>
        <w:t>ted market prices are not available, for example where an instrument is traded in a market that is not considered to be active or valuation techniques are used to determine fair value and where these techniques use inputs that are based significantly on ob</w:t>
      </w:r>
      <w:r w:rsidRPr="00076CE1">
        <w:rPr>
          <w:rFonts w:ascii="Arial" w:eastAsia="Arial Unicode MS" w:hAnsi="Arial" w:cs="Arial"/>
          <w:color w:val="000000"/>
          <w:sz w:val="22"/>
          <w:szCs w:val="22"/>
        </w:rPr>
        <w:t>servable market data. Such instruments include bonds secured on affordable housing assets.  The technique for valuing these assets is independently verified.</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bonds secured on affordable housing assets are based on long term expectations of interest ra</w:t>
      </w:r>
      <w:r w:rsidRPr="00076CE1">
        <w:rPr>
          <w:rFonts w:ascii="Arial" w:eastAsia="Arial Unicode MS" w:hAnsi="Arial" w:cs="Arial"/>
          <w:color w:val="000000"/>
          <w:sz w:val="22"/>
          <w:szCs w:val="22"/>
        </w:rPr>
        <w:t>tes, inflation and credit spreads in the housing association sector.</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7</w:t>
      </w:r>
      <w:r w:rsidRPr="00076CE1">
        <w:rPr>
          <w:rFonts w:ascii="Arial" w:eastAsia="Arial Unicode MS" w:hAnsi="Arial" w:cs="Arial"/>
          <w:b/>
          <w:color w:val="000000"/>
          <w:sz w:val="32"/>
          <w:szCs w:val="22"/>
        </w:rPr>
        <w:t>.1.3 Level 3</w:t>
      </w:r>
    </w:p>
    <w:p w:rsidR="00DC78E9" w:rsidRPr="00076CE1" w:rsidRDefault="00E56C9A" w:rsidP="00DC78E9">
      <w:pPr>
        <w:autoSpaceDE w:val="0"/>
        <w:autoSpaceDN w:val="0"/>
        <w:adjustRightInd w:val="0"/>
        <w:ind w:left="720"/>
        <w:jc w:val="both"/>
        <w:rPr>
          <w:rFonts w:ascii="Arial" w:eastAsia="Arial Unicode MS" w:hAnsi="Arial" w:cs="Arial"/>
          <w:b/>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Level 3 portfolios are those where at least one input which could have a significant effect on the instrument's valuation is not based on observable market data.  Such in</w:t>
      </w:r>
      <w:r w:rsidRPr="00076CE1">
        <w:rPr>
          <w:rFonts w:ascii="Arial" w:eastAsia="Arial Unicode MS" w:hAnsi="Arial" w:cs="Arial"/>
          <w:color w:val="000000"/>
          <w:sz w:val="22"/>
          <w:szCs w:val="22"/>
        </w:rPr>
        <w:t xml:space="preserve">struments include internally managed overseas equity funds, overseas quoted fixed income investments, pooled UK fixed </w:t>
      </w:r>
      <w:r w:rsidRPr="00076CE1">
        <w:rPr>
          <w:rFonts w:ascii="Arial" w:eastAsia="Arial Unicode MS" w:hAnsi="Arial" w:cs="Arial"/>
          <w:color w:val="000000"/>
          <w:sz w:val="22"/>
          <w:szCs w:val="22"/>
        </w:rPr>
        <w:lastRenderedPageBreak/>
        <w:t>income investments, private equity, infrastructure and indirect overseas property investments, which are valued using various valuation te</w:t>
      </w:r>
      <w:r w:rsidRPr="00076CE1">
        <w:rPr>
          <w:rFonts w:ascii="Arial" w:eastAsia="Arial Unicode MS" w:hAnsi="Arial" w:cs="Arial"/>
          <w:color w:val="000000"/>
          <w:sz w:val="22"/>
          <w:szCs w:val="22"/>
        </w:rPr>
        <w:t>chniques that require significant management judgement in determining appropriate assumptions, including earnings, public market comparatives and estimated future cash flows.</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values of the investment in private equity and infrastructure are based on v</w:t>
      </w:r>
      <w:r w:rsidRPr="00076CE1">
        <w:rPr>
          <w:rFonts w:ascii="Arial" w:eastAsia="Arial Unicode MS" w:hAnsi="Arial" w:cs="Arial"/>
          <w:color w:val="000000"/>
          <w:sz w:val="22"/>
          <w:szCs w:val="22"/>
        </w:rPr>
        <w:t>aluations provided to the private equity and infrastructure funds in which Lancashire County Pension Fund has invested.  These valuations are prepared in accordance with the International Private Equity and Venture Capital Valuation Guidelines or equivalen</w:t>
      </w:r>
      <w:r w:rsidRPr="00076CE1">
        <w:rPr>
          <w:rFonts w:ascii="Arial" w:eastAsia="Arial Unicode MS" w:hAnsi="Arial" w:cs="Arial"/>
          <w:color w:val="000000"/>
          <w:sz w:val="22"/>
          <w:szCs w:val="22"/>
        </w:rPr>
        <w:t>t, which follow the valuation principles of IFRS and US GAAP.  Valuations are performed annually mainly, and at the end of December.  Cash flow adjustments are used to roll forward the valuations to 31 March as appropriate.</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value of the overseas indir</w:t>
      </w:r>
      <w:r w:rsidRPr="00076CE1">
        <w:rPr>
          <w:rFonts w:ascii="Arial" w:eastAsia="Arial Unicode MS" w:hAnsi="Arial" w:cs="Arial"/>
          <w:color w:val="000000"/>
          <w:sz w:val="22"/>
          <w:szCs w:val="22"/>
        </w:rPr>
        <w:t>ect property fund investment is based on valuations provided to the overseas indirect property fund in which Lancashire County Pension Fund has invested.  These valuations are at the current open market value, as defined by the RICS Appraisal and Valuation</w:t>
      </w:r>
      <w:r w:rsidRPr="00076CE1">
        <w:rPr>
          <w:rFonts w:ascii="Arial" w:eastAsia="Arial Unicode MS" w:hAnsi="Arial" w:cs="Arial"/>
          <w:color w:val="000000"/>
          <w:sz w:val="22"/>
          <w:szCs w:val="22"/>
        </w:rPr>
        <w:t xml:space="preserve"> Standards.  These valuations are performed monthly.</w:t>
      </w: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p>
    <w:p w:rsidR="00185482" w:rsidRPr="00076CE1" w:rsidRDefault="00E56C9A" w:rsidP="00185482">
      <w:pPr>
        <w:autoSpaceDE w:val="0"/>
        <w:autoSpaceDN w:val="0"/>
        <w:adjustRightInd w:val="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7</w:t>
      </w:r>
      <w:r w:rsidRPr="00076CE1">
        <w:rPr>
          <w:rFonts w:ascii="Arial" w:eastAsia="Arial Unicode MS" w:hAnsi="Arial" w:cs="Arial"/>
          <w:b/>
          <w:color w:val="000000"/>
          <w:sz w:val="32"/>
          <w:szCs w:val="22"/>
        </w:rPr>
        <w:t>.1.4 Fair value hierarchy</w:t>
      </w:r>
    </w:p>
    <w:p w:rsidR="00185482" w:rsidRPr="00076CE1" w:rsidRDefault="00E56C9A" w:rsidP="00DC78E9">
      <w:pPr>
        <w:autoSpaceDE w:val="0"/>
        <w:autoSpaceDN w:val="0"/>
        <w:adjustRightInd w:val="0"/>
        <w:jc w:val="both"/>
        <w:rPr>
          <w:rFonts w:ascii="Arial" w:eastAsia="Arial Unicode MS" w:hAnsi="Arial" w:cs="Arial"/>
          <w:color w:val="000000"/>
          <w:sz w:val="22"/>
          <w:szCs w:val="22"/>
        </w:rPr>
      </w:pPr>
    </w:p>
    <w:p w:rsidR="00FC2397"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The following table provides an analysis of the financial assets and </w:t>
      </w:r>
      <w:r w:rsidRPr="00076CE1">
        <w:rPr>
          <w:rFonts w:ascii="Arial" w:eastAsia="Arial Unicode MS" w:hAnsi="Arial" w:cs="Arial"/>
          <w:color w:val="000000"/>
          <w:sz w:val="22"/>
          <w:szCs w:val="22"/>
        </w:rPr>
        <w:t>liabilities of</w:t>
      </w:r>
      <w:r w:rsidRPr="00076CE1">
        <w:rPr>
          <w:rFonts w:ascii="Arial" w:eastAsia="Arial Unicode MS" w:hAnsi="Arial" w:cs="Arial"/>
          <w:color w:val="000000"/>
          <w:sz w:val="22"/>
          <w:szCs w:val="22"/>
        </w:rPr>
        <w:t xml:space="preserve"> the Fund grouped into level 1 to 3 based on the level of which the fair value is observable.  </w:t>
      </w: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Loans and receivables are excluded from this table as they are held at amortised cost.</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tbl>
      <w:tblPr>
        <w:tblStyle w:val="TableGrid2"/>
        <w:tblW w:w="0" w:type="auto"/>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4820"/>
        <w:gridCol w:w="992"/>
        <w:gridCol w:w="1276"/>
        <w:gridCol w:w="1559"/>
        <w:gridCol w:w="946"/>
      </w:tblGrid>
      <w:tr w:rsidR="00B368D6" w:rsidTr="00E56C9A">
        <w:trPr>
          <w:trHeight w:val="431"/>
        </w:trPr>
        <w:tc>
          <w:tcPr>
            <w:tcW w:w="4820" w:type="dxa"/>
            <w:tcBorders>
              <w:bottom w:val="nil"/>
            </w:tcBorders>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31 March 2017</w:t>
            </w:r>
          </w:p>
        </w:tc>
        <w:tc>
          <w:tcPr>
            <w:tcW w:w="992" w:type="dxa"/>
            <w:shd w:val="clear" w:color="auto" w:fill="E7E6E6" w:themeFill="background2"/>
          </w:tcPr>
          <w:p w:rsidR="00185482"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Quoted market price</w:t>
            </w:r>
          </w:p>
          <w:p w:rsidR="00185482"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p>
          <w:p w:rsidR="00DC78E9"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Level 1</w:t>
            </w:r>
          </w:p>
        </w:tc>
        <w:tc>
          <w:tcPr>
            <w:tcW w:w="1276" w:type="dxa"/>
            <w:shd w:val="clear" w:color="auto" w:fill="E7E6E6" w:themeFill="background2"/>
          </w:tcPr>
          <w:p w:rsidR="00185482"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Using observable inputs</w:t>
            </w:r>
          </w:p>
          <w:p w:rsidR="00185482"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p>
          <w:p w:rsidR="00DC78E9"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Level 2</w:t>
            </w:r>
          </w:p>
        </w:tc>
        <w:tc>
          <w:tcPr>
            <w:tcW w:w="1559" w:type="dxa"/>
            <w:shd w:val="clear" w:color="auto" w:fill="E7E6E6" w:themeFill="background2"/>
          </w:tcPr>
          <w:p w:rsidR="00185482"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With significant unobservable inputs</w:t>
            </w:r>
          </w:p>
          <w:p w:rsidR="00DC78E9"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Level 3</w:t>
            </w:r>
          </w:p>
        </w:tc>
        <w:tc>
          <w:tcPr>
            <w:tcW w:w="946" w:type="dxa"/>
            <w:shd w:val="clear" w:color="auto" w:fill="E7E6E6" w:themeFill="background2"/>
          </w:tcPr>
          <w:p w:rsidR="00185482"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p>
          <w:p w:rsidR="00185482"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p>
          <w:p w:rsidR="00185482"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p>
          <w:p w:rsidR="00185482"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p>
          <w:p w:rsidR="00DC78E9"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Total</w:t>
            </w:r>
          </w:p>
        </w:tc>
      </w:tr>
      <w:tr w:rsidR="00B368D6" w:rsidTr="00E56C9A">
        <w:trPr>
          <w:trHeight w:val="431"/>
        </w:trPr>
        <w:tc>
          <w:tcPr>
            <w:tcW w:w="4820" w:type="dxa"/>
            <w:tcBorders>
              <w:top w:val="nil"/>
            </w:tcBorders>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p>
        </w:tc>
        <w:tc>
          <w:tcPr>
            <w:tcW w:w="992"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276"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559"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946"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r>
      <w:tr w:rsidR="00B368D6" w:rsidTr="00E56C9A">
        <w:trPr>
          <w:trHeight w:val="431"/>
        </w:trPr>
        <w:tc>
          <w:tcPr>
            <w:tcW w:w="4820"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Financial assets at fair value through profit and loss</w:t>
            </w:r>
          </w:p>
        </w:tc>
        <w:tc>
          <w:tcPr>
            <w:tcW w:w="992" w:type="dxa"/>
            <w:shd w:val="clear" w:color="auto" w:fill="auto"/>
          </w:tcPr>
          <w:p w:rsidR="00DC78E9" w:rsidRPr="00076CE1" w:rsidRDefault="00E56C9A" w:rsidP="008465B4">
            <w:pPr>
              <w:tabs>
                <w:tab w:val="left" w:pos="1080"/>
              </w:tabs>
              <w:autoSpaceDE w:val="0"/>
              <w:autoSpaceDN w:val="0"/>
              <w:adjustRightInd w:val="0"/>
              <w:jc w:val="right"/>
              <w:rPr>
                <w:rFonts w:ascii="Arial" w:eastAsia="Arial Unicode MS" w:hAnsi="Arial" w:cs="Arial"/>
                <w:color w:val="000000"/>
                <w:sz w:val="20"/>
                <w:szCs w:val="20"/>
              </w:rPr>
            </w:pPr>
            <w:r>
              <w:rPr>
                <w:rFonts w:ascii="Arial" w:eastAsia="Arial Unicode MS" w:hAnsi="Arial" w:cs="Arial"/>
                <w:color w:val="000000"/>
                <w:sz w:val="20"/>
                <w:szCs w:val="20"/>
              </w:rPr>
              <w:t>3,549.9</w:t>
            </w:r>
          </w:p>
        </w:tc>
        <w:tc>
          <w:tcPr>
            <w:tcW w:w="1276" w:type="dxa"/>
            <w:shd w:val="clear" w:color="auto" w:fill="auto"/>
          </w:tcPr>
          <w:p w:rsidR="00DC78E9" w:rsidRPr="00076CE1" w:rsidRDefault="00E56C9A" w:rsidP="00104AD4">
            <w:pPr>
              <w:tabs>
                <w:tab w:val="left" w:pos="1080"/>
              </w:tabs>
              <w:autoSpaceDE w:val="0"/>
              <w:autoSpaceDN w:val="0"/>
              <w:adjustRightInd w:val="0"/>
              <w:jc w:val="right"/>
              <w:rPr>
                <w:rFonts w:ascii="Arial" w:eastAsia="Arial Unicode MS" w:hAnsi="Arial" w:cs="Arial"/>
                <w:color w:val="000000"/>
                <w:sz w:val="20"/>
                <w:szCs w:val="20"/>
              </w:rPr>
            </w:pPr>
            <w:r>
              <w:rPr>
                <w:rFonts w:ascii="Arial" w:eastAsia="Arial Unicode MS" w:hAnsi="Arial" w:cs="Arial"/>
                <w:color w:val="000000"/>
                <w:sz w:val="20"/>
                <w:szCs w:val="20"/>
              </w:rPr>
              <w:t>158.7</w:t>
            </w:r>
          </w:p>
        </w:tc>
        <w:tc>
          <w:tcPr>
            <w:tcW w:w="1559" w:type="dxa"/>
            <w:shd w:val="clear" w:color="auto" w:fill="auto"/>
          </w:tcPr>
          <w:p w:rsidR="00DC78E9" w:rsidRPr="00076CE1" w:rsidRDefault="00E56C9A" w:rsidP="000C71A1">
            <w:pPr>
              <w:tabs>
                <w:tab w:val="left" w:pos="1080"/>
              </w:tabs>
              <w:autoSpaceDE w:val="0"/>
              <w:autoSpaceDN w:val="0"/>
              <w:adjustRightInd w:val="0"/>
              <w:jc w:val="right"/>
              <w:rPr>
                <w:rFonts w:ascii="Arial" w:eastAsia="Arial Unicode MS" w:hAnsi="Arial" w:cs="Arial"/>
                <w:color w:val="000000"/>
                <w:sz w:val="20"/>
                <w:szCs w:val="20"/>
              </w:rPr>
            </w:pPr>
            <w:r>
              <w:rPr>
                <w:rFonts w:ascii="Arial" w:eastAsia="Arial Unicode MS" w:hAnsi="Arial" w:cs="Arial"/>
                <w:color w:val="000000"/>
                <w:sz w:val="20"/>
                <w:szCs w:val="20"/>
              </w:rPr>
              <w:t>2,789.5</w:t>
            </w:r>
          </w:p>
        </w:tc>
        <w:tc>
          <w:tcPr>
            <w:tcW w:w="946" w:type="dxa"/>
            <w:shd w:val="clear" w:color="auto" w:fill="auto"/>
          </w:tcPr>
          <w:p w:rsidR="00DC78E9" w:rsidRPr="00076CE1" w:rsidRDefault="00E56C9A" w:rsidP="00104AD4">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w:t>
            </w:r>
            <w:r>
              <w:rPr>
                <w:rFonts w:ascii="Arial" w:eastAsia="Arial Unicode MS" w:hAnsi="Arial" w:cs="Arial"/>
                <w:color w:val="000000"/>
                <w:sz w:val="20"/>
                <w:szCs w:val="20"/>
              </w:rPr>
              <w:t>498.1</w:t>
            </w:r>
          </w:p>
        </w:tc>
      </w:tr>
      <w:tr w:rsidR="00B368D6" w:rsidTr="00E56C9A">
        <w:trPr>
          <w:trHeight w:val="431"/>
        </w:trPr>
        <w:tc>
          <w:tcPr>
            <w:tcW w:w="4820" w:type="dxa"/>
            <w:shd w:val="clear" w:color="auto" w:fill="auto"/>
          </w:tcPr>
          <w:p w:rsidR="00185482"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Non-financial assets at fair value through profit and loss (property holdings)</w:t>
            </w:r>
          </w:p>
        </w:tc>
        <w:tc>
          <w:tcPr>
            <w:tcW w:w="992" w:type="dxa"/>
            <w:shd w:val="clear" w:color="auto" w:fill="auto"/>
          </w:tcPr>
          <w:p w:rsidR="00185482"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p>
        </w:tc>
        <w:tc>
          <w:tcPr>
            <w:tcW w:w="1276" w:type="dxa"/>
            <w:shd w:val="clear" w:color="auto" w:fill="auto"/>
          </w:tcPr>
          <w:p w:rsidR="00185482" w:rsidRPr="00104AD4"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104AD4">
              <w:rPr>
                <w:rFonts w:ascii="Arial" w:eastAsia="Arial Unicode MS" w:hAnsi="Arial" w:cs="Arial"/>
                <w:color w:val="000000"/>
                <w:sz w:val="20"/>
                <w:szCs w:val="20"/>
              </w:rPr>
              <w:t>637.0</w:t>
            </w:r>
          </w:p>
        </w:tc>
        <w:tc>
          <w:tcPr>
            <w:tcW w:w="1559" w:type="dxa"/>
            <w:shd w:val="clear" w:color="auto" w:fill="auto"/>
          </w:tcPr>
          <w:p w:rsidR="00185482"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946" w:type="dxa"/>
            <w:shd w:val="clear" w:color="auto" w:fill="auto"/>
          </w:tcPr>
          <w:p w:rsidR="00185482"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637.0</w:t>
            </w:r>
          </w:p>
        </w:tc>
      </w:tr>
      <w:tr w:rsidR="00B368D6" w:rsidTr="00E56C9A">
        <w:trPr>
          <w:trHeight w:val="431"/>
        </w:trPr>
        <w:tc>
          <w:tcPr>
            <w:tcW w:w="4820"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Net investment assets</w:t>
            </w:r>
          </w:p>
        </w:tc>
        <w:tc>
          <w:tcPr>
            <w:tcW w:w="992"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Pr>
                <w:rFonts w:ascii="Arial" w:eastAsia="Arial Unicode MS" w:hAnsi="Arial" w:cs="Arial"/>
                <w:b/>
                <w:color w:val="000000"/>
                <w:sz w:val="20"/>
                <w:szCs w:val="20"/>
              </w:rPr>
              <w:t>3,549.9</w:t>
            </w:r>
          </w:p>
        </w:tc>
        <w:tc>
          <w:tcPr>
            <w:tcW w:w="1276" w:type="dxa"/>
            <w:shd w:val="clear" w:color="auto" w:fill="E7E6E6" w:themeFill="background2"/>
          </w:tcPr>
          <w:p w:rsidR="00DC78E9" w:rsidRPr="00076CE1" w:rsidRDefault="00E56C9A" w:rsidP="00104AD4">
            <w:pPr>
              <w:tabs>
                <w:tab w:val="left" w:pos="1080"/>
              </w:tabs>
              <w:autoSpaceDE w:val="0"/>
              <w:autoSpaceDN w:val="0"/>
              <w:adjustRightInd w:val="0"/>
              <w:jc w:val="right"/>
              <w:rPr>
                <w:rFonts w:ascii="Arial" w:eastAsia="Arial Unicode MS" w:hAnsi="Arial" w:cs="Arial"/>
                <w:b/>
                <w:color w:val="000000"/>
                <w:sz w:val="20"/>
                <w:szCs w:val="20"/>
              </w:rPr>
            </w:pPr>
            <w:r>
              <w:rPr>
                <w:rFonts w:ascii="Arial" w:eastAsia="Arial Unicode MS" w:hAnsi="Arial" w:cs="Arial"/>
                <w:b/>
                <w:color w:val="000000"/>
                <w:sz w:val="20"/>
                <w:szCs w:val="20"/>
              </w:rPr>
              <w:t>795.7</w:t>
            </w:r>
          </w:p>
        </w:tc>
        <w:tc>
          <w:tcPr>
            <w:tcW w:w="1559" w:type="dxa"/>
            <w:shd w:val="clear" w:color="auto" w:fill="E7E6E6" w:themeFill="background2"/>
          </w:tcPr>
          <w:p w:rsidR="00DC78E9" w:rsidRPr="00076CE1" w:rsidRDefault="00E56C9A" w:rsidP="00C3297F">
            <w:pPr>
              <w:tabs>
                <w:tab w:val="left" w:pos="1080"/>
              </w:tabs>
              <w:autoSpaceDE w:val="0"/>
              <w:autoSpaceDN w:val="0"/>
              <w:adjustRightInd w:val="0"/>
              <w:jc w:val="right"/>
              <w:rPr>
                <w:rFonts w:ascii="Arial" w:eastAsia="Arial Unicode MS" w:hAnsi="Arial" w:cs="Arial"/>
                <w:b/>
                <w:color w:val="000000"/>
                <w:sz w:val="20"/>
                <w:szCs w:val="20"/>
              </w:rPr>
            </w:pPr>
            <w:r>
              <w:rPr>
                <w:rFonts w:ascii="Arial" w:eastAsia="Arial Unicode MS" w:hAnsi="Arial" w:cs="Arial"/>
                <w:b/>
                <w:color w:val="000000"/>
                <w:sz w:val="20"/>
                <w:szCs w:val="20"/>
              </w:rPr>
              <w:t>2,789.5</w:t>
            </w:r>
          </w:p>
        </w:tc>
        <w:tc>
          <w:tcPr>
            <w:tcW w:w="946" w:type="dxa"/>
            <w:shd w:val="clear" w:color="auto" w:fill="E7E6E6" w:themeFill="background2"/>
          </w:tcPr>
          <w:p w:rsidR="00DC78E9" w:rsidRPr="00076CE1" w:rsidRDefault="00E56C9A" w:rsidP="00104AD4">
            <w:pPr>
              <w:tabs>
                <w:tab w:val="left" w:pos="1080"/>
              </w:tabs>
              <w:autoSpaceDE w:val="0"/>
              <w:autoSpaceDN w:val="0"/>
              <w:adjustRightInd w:val="0"/>
              <w:jc w:val="right"/>
              <w:rPr>
                <w:rFonts w:ascii="Arial" w:eastAsia="Arial Unicode MS" w:hAnsi="Arial" w:cs="Arial"/>
                <w:b/>
                <w:color w:val="000000"/>
                <w:sz w:val="20"/>
                <w:szCs w:val="20"/>
              </w:rPr>
            </w:pPr>
            <w:r>
              <w:rPr>
                <w:rFonts w:ascii="Arial" w:eastAsia="Arial Unicode MS" w:hAnsi="Arial" w:cs="Arial"/>
                <w:b/>
                <w:color w:val="000000"/>
                <w:sz w:val="20"/>
                <w:szCs w:val="20"/>
              </w:rPr>
              <w:t>7,135.1</w:t>
            </w:r>
          </w:p>
        </w:tc>
      </w:tr>
      <w:tr w:rsidR="00B368D6" w:rsidTr="00E56C9A">
        <w:trPr>
          <w:trHeight w:val="431"/>
        </w:trPr>
        <w:tc>
          <w:tcPr>
            <w:tcW w:w="4820" w:type="dxa"/>
            <w:tcBorders>
              <w:bottom w:val="nil"/>
            </w:tcBorders>
            <w:shd w:val="clear" w:color="auto" w:fill="E7E6E6" w:themeFill="background2"/>
          </w:tcPr>
          <w:p w:rsidR="00230076" w:rsidRPr="00076CE1" w:rsidRDefault="00E56C9A" w:rsidP="00230076">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31 March 2016*</w:t>
            </w:r>
          </w:p>
        </w:tc>
        <w:tc>
          <w:tcPr>
            <w:tcW w:w="992" w:type="dxa"/>
            <w:shd w:val="clear" w:color="auto" w:fill="E7E6E6" w:themeFill="background2"/>
          </w:tcPr>
          <w:p w:rsidR="00230076"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Quoted market price</w:t>
            </w:r>
          </w:p>
          <w:p w:rsidR="00230076"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p>
          <w:p w:rsidR="00230076"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Level 1</w:t>
            </w:r>
          </w:p>
        </w:tc>
        <w:tc>
          <w:tcPr>
            <w:tcW w:w="1276" w:type="dxa"/>
            <w:shd w:val="clear" w:color="auto" w:fill="E7E6E6" w:themeFill="background2"/>
          </w:tcPr>
          <w:p w:rsidR="00230076"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Using observable inputs</w:t>
            </w:r>
          </w:p>
          <w:p w:rsidR="00230076"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p>
          <w:p w:rsidR="00230076"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Level 2</w:t>
            </w:r>
          </w:p>
        </w:tc>
        <w:tc>
          <w:tcPr>
            <w:tcW w:w="1559" w:type="dxa"/>
            <w:shd w:val="clear" w:color="auto" w:fill="E7E6E6" w:themeFill="background2"/>
          </w:tcPr>
          <w:p w:rsidR="00230076"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With significant unobservable inputs</w:t>
            </w:r>
          </w:p>
          <w:p w:rsidR="00230076"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Level 3</w:t>
            </w:r>
          </w:p>
        </w:tc>
        <w:tc>
          <w:tcPr>
            <w:tcW w:w="946" w:type="dxa"/>
            <w:shd w:val="clear" w:color="auto" w:fill="E7E6E6" w:themeFill="background2"/>
          </w:tcPr>
          <w:p w:rsidR="00230076"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p>
          <w:p w:rsidR="00230076"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p>
          <w:p w:rsidR="00230076"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p>
          <w:p w:rsidR="00230076"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p>
          <w:p w:rsidR="00230076" w:rsidRPr="00076CE1" w:rsidRDefault="00E56C9A" w:rsidP="00230076">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Total</w:t>
            </w:r>
          </w:p>
        </w:tc>
      </w:tr>
      <w:tr w:rsidR="00B368D6" w:rsidTr="00E56C9A">
        <w:trPr>
          <w:trHeight w:val="431"/>
        </w:trPr>
        <w:tc>
          <w:tcPr>
            <w:tcW w:w="4820" w:type="dxa"/>
            <w:tcBorders>
              <w:top w:val="nil"/>
            </w:tcBorders>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p>
        </w:tc>
        <w:tc>
          <w:tcPr>
            <w:tcW w:w="992"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276"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559"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946"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r>
      <w:tr w:rsidR="00B368D6" w:rsidTr="00E56C9A">
        <w:trPr>
          <w:trHeight w:val="431"/>
        </w:trPr>
        <w:tc>
          <w:tcPr>
            <w:tcW w:w="4820"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 xml:space="preserve">Financial assets at fair value through profit and </w:t>
            </w:r>
            <w:r w:rsidRPr="00076CE1">
              <w:rPr>
                <w:rFonts w:ascii="Arial" w:eastAsia="Arial Unicode MS" w:hAnsi="Arial" w:cs="Arial"/>
                <w:color w:val="000000"/>
                <w:sz w:val="20"/>
                <w:szCs w:val="20"/>
              </w:rPr>
              <w:t>loss</w:t>
            </w:r>
          </w:p>
        </w:tc>
        <w:tc>
          <w:tcPr>
            <w:tcW w:w="992"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3,341.1</w:t>
            </w:r>
          </w:p>
        </w:tc>
        <w:tc>
          <w:tcPr>
            <w:tcW w:w="1276"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245.6</w:t>
            </w:r>
          </w:p>
        </w:tc>
        <w:tc>
          <w:tcPr>
            <w:tcW w:w="1559"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1,913.2</w:t>
            </w:r>
          </w:p>
        </w:tc>
        <w:tc>
          <w:tcPr>
            <w:tcW w:w="946"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5,499.9</w:t>
            </w:r>
          </w:p>
        </w:tc>
      </w:tr>
      <w:tr w:rsidR="00B368D6" w:rsidTr="00E56C9A">
        <w:trPr>
          <w:trHeight w:val="431"/>
        </w:trPr>
        <w:tc>
          <w:tcPr>
            <w:tcW w:w="4820" w:type="dxa"/>
          </w:tcPr>
          <w:p w:rsidR="00185482"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Non-financial assets at fair value through profit and loss (property holdings)</w:t>
            </w:r>
            <w:r w:rsidRPr="00076CE1">
              <w:rPr>
                <w:rFonts w:ascii="Arial" w:eastAsia="Arial Unicode MS" w:hAnsi="Arial" w:cs="Arial"/>
                <w:color w:val="000000"/>
                <w:sz w:val="20"/>
                <w:szCs w:val="20"/>
              </w:rPr>
              <w:t>*</w:t>
            </w:r>
          </w:p>
        </w:tc>
        <w:tc>
          <w:tcPr>
            <w:tcW w:w="992" w:type="dxa"/>
          </w:tcPr>
          <w:p w:rsidR="00185482"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276" w:type="dxa"/>
          </w:tcPr>
          <w:p w:rsidR="00185482"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Pr>
                <w:rFonts w:ascii="Arial" w:eastAsia="Arial Unicode MS" w:hAnsi="Arial" w:cs="Arial"/>
                <w:color w:val="000000"/>
                <w:sz w:val="20"/>
                <w:szCs w:val="20"/>
              </w:rPr>
              <w:t>608.1</w:t>
            </w:r>
          </w:p>
        </w:tc>
        <w:tc>
          <w:tcPr>
            <w:tcW w:w="1559" w:type="dxa"/>
          </w:tcPr>
          <w:p w:rsidR="00185482"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946" w:type="dxa"/>
          </w:tcPr>
          <w:p w:rsidR="00185482"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608.1</w:t>
            </w:r>
          </w:p>
        </w:tc>
      </w:tr>
      <w:tr w:rsidR="00B368D6" w:rsidTr="00E56C9A">
        <w:trPr>
          <w:trHeight w:val="431"/>
        </w:trPr>
        <w:tc>
          <w:tcPr>
            <w:tcW w:w="4820"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Financial liabilities at fair value through profit and loss</w:t>
            </w:r>
          </w:p>
        </w:tc>
        <w:tc>
          <w:tcPr>
            <w:tcW w:w="992"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(291.0)</w:t>
            </w:r>
          </w:p>
        </w:tc>
        <w:tc>
          <w:tcPr>
            <w:tcW w:w="1276"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1559"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946"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(291.0)</w:t>
            </w:r>
          </w:p>
        </w:tc>
      </w:tr>
      <w:tr w:rsidR="00B368D6" w:rsidTr="00E56C9A">
        <w:trPr>
          <w:trHeight w:val="431"/>
        </w:trPr>
        <w:tc>
          <w:tcPr>
            <w:tcW w:w="4820"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Net investment assets</w:t>
            </w:r>
          </w:p>
        </w:tc>
        <w:tc>
          <w:tcPr>
            <w:tcW w:w="992"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3,050.1</w:t>
            </w:r>
          </w:p>
        </w:tc>
        <w:tc>
          <w:tcPr>
            <w:tcW w:w="1276"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Pr>
                <w:rFonts w:ascii="Arial" w:eastAsia="Arial Unicode MS" w:hAnsi="Arial" w:cs="Arial"/>
                <w:b/>
                <w:color w:val="000000"/>
                <w:sz w:val="20"/>
                <w:szCs w:val="20"/>
              </w:rPr>
              <w:t>853.7</w:t>
            </w:r>
          </w:p>
        </w:tc>
        <w:tc>
          <w:tcPr>
            <w:tcW w:w="1559"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Pr>
                <w:rFonts w:ascii="Arial" w:eastAsia="Arial Unicode MS" w:hAnsi="Arial" w:cs="Arial"/>
                <w:b/>
                <w:color w:val="000000"/>
                <w:sz w:val="20"/>
                <w:szCs w:val="20"/>
              </w:rPr>
              <w:t>1,913.2</w:t>
            </w:r>
          </w:p>
        </w:tc>
        <w:tc>
          <w:tcPr>
            <w:tcW w:w="946"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5,817.0</w:t>
            </w:r>
          </w:p>
        </w:tc>
      </w:tr>
    </w:tbl>
    <w:p w:rsidR="00185482" w:rsidRPr="00076CE1" w:rsidRDefault="00E56C9A" w:rsidP="00185482">
      <w:pPr>
        <w:autoSpaceDE w:val="0"/>
        <w:autoSpaceDN w:val="0"/>
        <w:adjustRightInd w:val="0"/>
        <w:jc w:val="both"/>
        <w:rPr>
          <w:rFonts w:ascii="Arial" w:eastAsia="Arial Unicode MS" w:hAnsi="Arial" w:cs="Arial"/>
          <w:color w:val="000000"/>
          <w:sz w:val="22"/>
          <w:szCs w:val="22"/>
        </w:rPr>
      </w:pPr>
    </w:p>
    <w:p w:rsidR="00185482" w:rsidRPr="00076CE1" w:rsidRDefault="00E56C9A" w:rsidP="00185482">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information for 2015/16 has been restated from the audited 2015/16 accounts to include investments in directly held property as a result of changes to the Code.</w:t>
      </w:r>
    </w:p>
    <w:p w:rsidR="00501D17" w:rsidRPr="00076CE1" w:rsidRDefault="00E56C9A" w:rsidP="00185482">
      <w:pPr>
        <w:autoSpaceDE w:val="0"/>
        <w:autoSpaceDN w:val="0"/>
        <w:adjustRightInd w:val="0"/>
        <w:jc w:val="both"/>
        <w:rPr>
          <w:rFonts w:ascii="Arial" w:eastAsia="Arial Unicode MS" w:hAnsi="Arial" w:cs="Arial"/>
          <w:color w:val="000000"/>
          <w:sz w:val="22"/>
          <w:szCs w:val="22"/>
        </w:rPr>
      </w:pPr>
    </w:p>
    <w:p w:rsidR="00185482" w:rsidRPr="00076CE1" w:rsidRDefault="00E56C9A" w:rsidP="00185482">
      <w:pPr>
        <w:autoSpaceDE w:val="0"/>
        <w:autoSpaceDN w:val="0"/>
        <w:adjustRightInd w:val="0"/>
        <w:jc w:val="both"/>
        <w:rPr>
          <w:rFonts w:ascii="Arial" w:eastAsia="Arial Unicode MS" w:hAnsi="Arial" w:cs="Arial"/>
          <w:color w:val="000000"/>
          <w:sz w:val="22"/>
          <w:szCs w:val="22"/>
        </w:rPr>
      </w:pPr>
    </w:p>
    <w:p w:rsidR="00185482" w:rsidRPr="00076CE1" w:rsidRDefault="00E56C9A" w:rsidP="00185482">
      <w:pPr>
        <w:autoSpaceDE w:val="0"/>
        <w:autoSpaceDN w:val="0"/>
        <w:adjustRightInd w:val="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7</w:t>
      </w:r>
      <w:r w:rsidRPr="00076CE1">
        <w:rPr>
          <w:rFonts w:ascii="Arial" w:eastAsia="Arial Unicode MS" w:hAnsi="Arial" w:cs="Arial"/>
          <w:b/>
          <w:color w:val="000000"/>
          <w:sz w:val="32"/>
          <w:szCs w:val="22"/>
        </w:rPr>
        <w:t>.1.5 Reconciliation of fair value measurements within level 3</w:t>
      </w:r>
    </w:p>
    <w:tbl>
      <w:tblPr>
        <w:tblStyle w:val="TableGrid4"/>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841"/>
        <w:gridCol w:w="3175"/>
      </w:tblGrid>
      <w:tr w:rsidR="00B368D6" w:rsidTr="009E35C6">
        <w:tc>
          <w:tcPr>
            <w:tcW w:w="5841" w:type="dxa"/>
          </w:tcPr>
          <w:p w:rsidR="00E46313" w:rsidRPr="00E46313" w:rsidRDefault="00E56C9A" w:rsidP="009E35C6">
            <w:pPr>
              <w:autoSpaceDE w:val="0"/>
              <w:autoSpaceDN w:val="0"/>
              <w:adjustRightInd w:val="0"/>
              <w:jc w:val="both"/>
              <w:rPr>
                <w:rFonts w:ascii="Arial Unicode MS" w:eastAsia="Arial Unicode MS" w:hAnsi="Arial Unicode MS" w:cs="Arial Unicode MS"/>
                <w:color w:val="000000"/>
                <w:sz w:val="20"/>
                <w:szCs w:val="20"/>
              </w:rPr>
            </w:pPr>
          </w:p>
        </w:tc>
        <w:tc>
          <w:tcPr>
            <w:tcW w:w="3175" w:type="dxa"/>
          </w:tcPr>
          <w:p w:rsidR="00E46313" w:rsidRPr="00E46313" w:rsidRDefault="00E56C9A" w:rsidP="009E35C6">
            <w:pPr>
              <w:autoSpaceDE w:val="0"/>
              <w:autoSpaceDN w:val="0"/>
              <w:adjustRightInd w:val="0"/>
              <w:jc w:val="right"/>
              <w:rPr>
                <w:rFonts w:ascii="Arial Unicode MS" w:eastAsia="Arial Unicode MS" w:hAnsi="Arial Unicode MS" w:cs="Arial Unicode MS"/>
                <w:b/>
                <w:color w:val="000000"/>
                <w:sz w:val="20"/>
                <w:szCs w:val="20"/>
              </w:rPr>
            </w:pPr>
            <w:r w:rsidRPr="00E46313">
              <w:rPr>
                <w:rFonts w:ascii="Arial Unicode MS" w:eastAsia="Arial Unicode MS" w:hAnsi="Arial Unicode MS" w:cs="Arial Unicode MS"/>
                <w:b/>
                <w:color w:val="000000"/>
                <w:sz w:val="20"/>
                <w:szCs w:val="20"/>
              </w:rPr>
              <w:t xml:space="preserve">Financial </w:t>
            </w:r>
            <w:r w:rsidRPr="00E46313">
              <w:rPr>
                <w:rFonts w:ascii="Arial Unicode MS" w:eastAsia="Arial Unicode MS" w:hAnsi="Arial Unicode MS" w:cs="Arial Unicode MS"/>
                <w:b/>
                <w:color w:val="000000"/>
                <w:sz w:val="20"/>
                <w:szCs w:val="20"/>
              </w:rPr>
              <w:t>assets at fair value through profit and loss</w:t>
            </w:r>
          </w:p>
        </w:tc>
      </w:tr>
      <w:tr w:rsidR="00B368D6" w:rsidTr="009E35C6">
        <w:tc>
          <w:tcPr>
            <w:tcW w:w="5841" w:type="dxa"/>
          </w:tcPr>
          <w:p w:rsidR="00E46313" w:rsidRPr="00E46313" w:rsidRDefault="00E56C9A" w:rsidP="009E35C6">
            <w:pPr>
              <w:autoSpaceDE w:val="0"/>
              <w:autoSpaceDN w:val="0"/>
              <w:adjustRightInd w:val="0"/>
              <w:jc w:val="both"/>
              <w:rPr>
                <w:rFonts w:ascii="Arial Unicode MS" w:eastAsia="Arial Unicode MS" w:hAnsi="Arial Unicode MS" w:cs="Arial Unicode MS"/>
                <w:color w:val="000000"/>
                <w:sz w:val="20"/>
                <w:szCs w:val="20"/>
              </w:rPr>
            </w:pPr>
          </w:p>
        </w:tc>
        <w:tc>
          <w:tcPr>
            <w:tcW w:w="3175" w:type="dxa"/>
          </w:tcPr>
          <w:p w:rsidR="00E46313" w:rsidRPr="00E46313" w:rsidRDefault="00E56C9A" w:rsidP="009E35C6">
            <w:pPr>
              <w:autoSpaceDE w:val="0"/>
              <w:autoSpaceDN w:val="0"/>
              <w:adjustRightInd w:val="0"/>
              <w:jc w:val="right"/>
              <w:rPr>
                <w:rFonts w:ascii="Arial Unicode MS" w:eastAsia="Arial Unicode MS" w:hAnsi="Arial Unicode MS" w:cs="Arial Unicode MS"/>
                <w:b/>
                <w:color w:val="000000"/>
                <w:sz w:val="20"/>
                <w:szCs w:val="20"/>
              </w:rPr>
            </w:pPr>
            <w:r w:rsidRPr="00E46313">
              <w:rPr>
                <w:rFonts w:ascii="Arial Unicode MS" w:eastAsia="Arial Unicode MS" w:hAnsi="Arial Unicode MS" w:cs="Arial Unicode MS"/>
                <w:b/>
                <w:color w:val="000000"/>
                <w:sz w:val="20"/>
                <w:szCs w:val="20"/>
              </w:rPr>
              <w:t>£m</w:t>
            </w:r>
          </w:p>
        </w:tc>
      </w:tr>
      <w:tr w:rsidR="00B368D6" w:rsidTr="009E35C6">
        <w:tc>
          <w:tcPr>
            <w:tcW w:w="5841" w:type="dxa"/>
            <w:shd w:val="clear" w:color="auto" w:fill="E7E6E6" w:themeFill="background2"/>
          </w:tcPr>
          <w:p w:rsidR="00E46313" w:rsidRPr="00E46313" w:rsidRDefault="00E56C9A" w:rsidP="009E35C6">
            <w:pPr>
              <w:autoSpaceDE w:val="0"/>
              <w:autoSpaceDN w:val="0"/>
              <w:adjustRightInd w:val="0"/>
              <w:jc w:val="both"/>
              <w:rPr>
                <w:rFonts w:ascii="Arial Unicode MS" w:eastAsia="Arial Unicode MS" w:hAnsi="Arial Unicode MS" w:cs="Arial Unicode MS"/>
                <w:b/>
                <w:color w:val="000000"/>
                <w:sz w:val="20"/>
                <w:szCs w:val="20"/>
              </w:rPr>
            </w:pPr>
            <w:r w:rsidRPr="00E46313">
              <w:rPr>
                <w:rFonts w:ascii="Arial Unicode MS" w:eastAsia="Arial Unicode MS" w:hAnsi="Arial Unicode MS" w:cs="Arial Unicode MS"/>
                <w:b/>
                <w:bCs/>
                <w:color w:val="000000"/>
                <w:sz w:val="20"/>
                <w:szCs w:val="20"/>
              </w:rPr>
              <w:t>Market value 1 April 2016</w:t>
            </w:r>
          </w:p>
        </w:tc>
        <w:tc>
          <w:tcPr>
            <w:tcW w:w="3175" w:type="dxa"/>
            <w:shd w:val="clear" w:color="auto" w:fill="E7E6E6" w:themeFill="background2"/>
          </w:tcPr>
          <w:p w:rsidR="00E46313" w:rsidRPr="00E46313" w:rsidRDefault="00E56C9A" w:rsidP="009E35C6">
            <w:pPr>
              <w:autoSpaceDE w:val="0"/>
              <w:autoSpaceDN w:val="0"/>
              <w:adjustRightInd w:val="0"/>
              <w:jc w:val="right"/>
              <w:rPr>
                <w:rFonts w:ascii="Arial Unicode MS" w:eastAsia="Arial Unicode MS" w:hAnsi="Arial Unicode MS" w:cs="Arial Unicode MS"/>
                <w:b/>
                <w:color w:val="000000"/>
                <w:sz w:val="20"/>
                <w:szCs w:val="20"/>
              </w:rPr>
            </w:pPr>
            <w:r w:rsidRPr="00E46313">
              <w:rPr>
                <w:rFonts w:ascii="Arial Unicode MS" w:eastAsia="Arial Unicode MS" w:hAnsi="Arial Unicode MS" w:cs="Arial Unicode MS"/>
                <w:b/>
                <w:color w:val="000000"/>
                <w:sz w:val="20"/>
                <w:szCs w:val="20"/>
              </w:rPr>
              <w:t>1,913.2</w:t>
            </w:r>
          </w:p>
        </w:tc>
      </w:tr>
      <w:tr w:rsidR="00B368D6" w:rsidTr="009E35C6">
        <w:tc>
          <w:tcPr>
            <w:tcW w:w="5841" w:type="dxa"/>
          </w:tcPr>
          <w:p w:rsidR="00E46313" w:rsidRPr="00E46313" w:rsidRDefault="00E56C9A" w:rsidP="009E35C6">
            <w:pPr>
              <w:autoSpaceDE w:val="0"/>
              <w:autoSpaceDN w:val="0"/>
              <w:adjustRightInd w:val="0"/>
              <w:jc w:val="both"/>
              <w:rPr>
                <w:rFonts w:ascii="Arial Unicode MS" w:eastAsia="Arial Unicode MS" w:hAnsi="Arial Unicode MS" w:cs="Arial Unicode MS"/>
                <w:color w:val="000000"/>
                <w:sz w:val="20"/>
                <w:szCs w:val="20"/>
              </w:rPr>
            </w:pPr>
            <w:r w:rsidRPr="00E46313">
              <w:rPr>
                <w:rFonts w:ascii="Arial Unicode MS" w:eastAsia="Arial Unicode MS" w:hAnsi="Arial Unicode MS" w:cs="Arial Unicode MS"/>
                <w:bCs/>
                <w:color w:val="000000"/>
                <w:sz w:val="20"/>
                <w:szCs w:val="20"/>
              </w:rPr>
              <w:t>Purchases during the year and derivative payments</w:t>
            </w:r>
          </w:p>
        </w:tc>
        <w:tc>
          <w:tcPr>
            <w:tcW w:w="3175" w:type="dxa"/>
          </w:tcPr>
          <w:p w:rsidR="00E46313" w:rsidRPr="00E46313" w:rsidRDefault="00E56C9A" w:rsidP="009E35C6">
            <w:pPr>
              <w:autoSpaceDE w:val="0"/>
              <w:autoSpaceDN w:val="0"/>
              <w:adjustRightInd w:val="0"/>
              <w:jc w:val="right"/>
              <w:rPr>
                <w:rFonts w:ascii="Arial Unicode MS" w:eastAsia="Arial Unicode MS" w:hAnsi="Arial Unicode MS" w:cs="Arial Unicode MS"/>
                <w:color w:val="000000"/>
                <w:sz w:val="20"/>
                <w:szCs w:val="20"/>
              </w:rPr>
            </w:pPr>
            <w:r w:rsidRPr="00E46313">
              <w:rPr>
                <w:rFonts w:ascii="Arial Unicode MS" w:eastAsia="Arial Unicode MS" w:hAnsi="Arial Unicode MS" w:cs="Arial Unicode MS"/>
                <w:color w:val="000000"/>
                <w:sz w:val="20"/>
                <w:szCs w:val="20"/>
              </w:rPr>
              <w:t>878.4</w:t>
            </w:r>
          </w:p>
        </w:tc>
      </w:tr>
      <w:tr w:rsidR="00B368D6" w:rsidTr="009E35C6">
        <w:tc>
          <w:tcPr>
            <w:tcW w:w="5841" w:type="dxa"/>
          </w:tcPr>
          <w:p w:rsidR="00E46313" w:rsidRPr="00E46313" w:rsidRDefault="00E56C9A" w:rsidP="009E35C6">
            <w:pPr>
              <w:autoSpaceDE w:val="0"/>
              <w:autoSpaceDN w:val="0"/>
              <w:adjustRightInd w:val="0"/>
              <w:jc w:val="both"/>
              <w:rPr>
                <w:rFonts w:ascii="Arial Unicode MS" w:eastAsia="Arial Unicode MS" w:hAnsi="Arial Unicode MS" w:cs="Arial Unicode MS"/>
                <w:color w:val="000000"/>
                <w:sz w:val="20"/>
                <w:szCs w:val="20"/>
              </w:rPr>
            </w:pPr>
            <w:r w:rsidRPr="00E46313">
              <w:rPr>
                <w:rFonts w:ascii="Arial Unicode MS" w:eastAsia="Arial Unicode MS" w:hAnsi="Arial Unicode MS" w:cs="Arial Unicode MS"/>
                <w:bCs/>
                <w:color w:val="000000"/>
                <w:sz w:val="20"/>
                <w:szCs w:val="20"/>
              </w:rPr>
              <w:t>Sales during the year and derivative receipts</w:t>
            </w:r>
          </w:p>
        </w:tc>
        <w:tc>
          <w:tcPr>
            <w:tcW w:w="3175" w:type="dxa"/>
          </w:tcPr>
          <w:p w:rsidR="00E46313" w:rsidRPr="00E46313" w:rsidRDefault="00E56C9A" w:rsidP="009E35C6">
            <w:pPr>
              <w:autoSpaceDE w:val="0"/>
              <w:autoSpaceDN w:val="0"/>
              <w:adjustRightInd w:val="0"/>
              <w:jc w:val="right"/>
              <w:rPr>
                <w:rFonts w:ascii="Arial Unicode MS" w:eastAsia="Arial Unicode MS" w:hAnsi="Arial Unicode MS" w:cs="Arial Unicode MS"/>
                <w:color w:val="000000"/>
                <w:sz w:val="20"/>
                <w:szCs w:val="20"/>
              </w:rPr>
            </w:pPr>
            <w:r w:rsidRPr="00E46313">
              <w:rPr>
                <w:rFonts w:ascii="Arial Unicode MS" w:eastAsia="Arial Unicode MS" w:hAnsi="Arial Unicode MS" w:cs="Arial Unicode MS"/>
                <w:color w:val="000000"/>
                <w:sz w:val="20"/>
                <w:szCs w:val="20"/>
              </w:rPr>
              <w:t>(364.2)</w:t>
            </w:r>
          </w:p>
        </w:tc>
      </w:tr>
      <w:tr w:rsidR="00B368D6" w:rsidTr="009E35C6">
        <w:tc>
          <w:tcPr>
            <w:tcW w:w="5841" w:type="dxa"/>
          </w:tcPr>
          <w:p w:rsidR="00E46313" w:rsidRPr="00E46313" w:rsidRDefault="00E56C9A" w:rsidP="009E35C6">
            <w:pPr>
              <w:autoSpaceDE w:val="0"/>
              <w:autoSpaceDN w:val="0"/>
              <w:adjustRightInd w:val="0"/>
              <w:jc w:val="both"/>
              <w:rPr>
                <w:rFonts w:ascii="Arial Unicode MS" w:eastAsia="Arial Unicode MS" w:hAnsi="Arial Unicode MS" w:cs="Arial Unicode MS"/>
                <w:color w:val="000000"/>
                <w:sz w:val="20"/>
                <w:szCs w:val="20"/>
              </w:rPr>
            </w:pPr>
            <w:r w:rsidRPr="00E46313">
              <w:rPr>
                <w:rFonts w:ascii="Arial Unicode MS" w:eastAsia="Arial Unicode MS" w:hAnsi="Arial Unicode MS" w:cs="Arial Unicode MS"/>
                <w:bCs/>
                <w:color w:val="000000"/>
                <w:sz w:val="20"/>
                <w:szCs w:val="20"/>
              </w:rPr>
              <w:t xml:space="preserve">Unrealised gains </w:t>
            </w:r>
          </w:p>
        </w:tc>
        <w:tc>
          <w:tcPr>
            <w:tcW w:w="3175" w:type="dxa"/>
          </w:tcPr>
          <w:p w:rsidR="00E46313" w:rsidRPr="00E46313" w:rsidRDefault="00E56C9A" w:rsidP="009E35C6">
            <w:pPr>
              <w:autoSpaceDE w:val="0"/>
              <w:autoSpaceDN w:val="0"/>
              <w:adjustRightInd w:val="0"/>
              <w:jc w:val="right"/>
              <w:rPr>
                <w:rFonts w:ascii="Arial Unicode MS" w:eastAsia="Arial Unicode MS" w:hAnsi="Arial Unicode MS" w:cs="Arial Unicode MS"/>
                <w:color w:val="000000"/>
                <w:sz w:val="20"/>
                <w:szCs w:val="20"/>
              </w:rPr>
            </w:pPr>
            <w:r w:rsidRPr="00E46313">
              <w:rPr>
                <w:rFonts w:ascii="Arial Unicode MS" w:eastAsia="Arial Unicode MS" w:hAnsi="Arial Unicode MS" w:cs="Arial Unicode MS"/>
                <w:color w:val="000000"/>
                <w:sz w:val="20"/>
                <w:szCs w:val="20"/>
              </w:rPr>
              <w:t>290.8</w:t>
            </w:r>
          </w:p>
        </w:tc>
      </w:tr>
      <w:tr w:rsidR="00B368D6" w:rsidTr="009E35C6">
        <w:tc>
          <w:tcPr>
            <w:tcW w:w="5841" w:type="dxa"/>
          </w:tcPr>
          <w:p w:rsidR="00E46313" w:rsidRPr="00E46313" w:rsidRDefault="00E56C9A" w:rsidP="009E35C6">
            <w:pPr>
              <w:autoSpaceDE w:val="0"/>
              <w:autoSpaceDN w:val="0"/>
              <w:adjustRightInd w:val="0"/>
              <w:jc w:val="both"/>
              <w:rPr>
                <w:rFonts w:ascii="Arial Unicode MS" w:eastAsia="Arial Unicode MS" w:hAnsi="Arial Unicode MS" w:cs="Arial Unicode MS"/>
                <w:color w:val="000000"/>
                <w:sz w:val="20"/>
                <w:szCs w:val="20"/>
              </w:rPr>
            </w:pPr>
            <w:r w:rsidRPr="00E46313">
              <w:rPr>
                <w:rFonts w:ascii="Arial Unicode MS" w:eastAsia="Arial Unicode MS" w:hAnsi="Arial Unicode MS" w:cs="Arial Unicode MS"/>
                <w:bCs/>
                <w:color w:val="000000"/>
                <w:sz w:val="20"/>
                <w:szCs w:val="20"/>
              </w:rPr>
              <w:t xml:space="preserve">Realised gains </w:t>
            </w:r>
          </w:p>
        </w:tc>
        <w:tc>
          <w:tcPr>
            <w:tcW w:w="3175" w:type="dxa"/>
          </w:tcPr>
          <w:p w:rsidR="00E46313" w:rsidRPr="00E46313" w:rsidRDefault="00E56C9A" w:rsidP="009E35C6">
            <w:pPr>
              <w:autoSpaceDE w:val="0"/>
              <w:autoSpaceDN w:val="0"/>
              <w:adjustRightInd w:val="0"/>
              <w:jc w:val="right"/>
              <w:rPr>
                <w:rFonts w:ascii="Arial Unicode MS" w:eastAsia="Arial Unicode MS" w:hAnsi="Arial Unicode MS" w:cs="Arial Unicode MS"/>
                <w:color w:val="000000"/>
                <w:sz w:val="20"/>
                <w:szCs w:val="20"/>
              </w:rPr>
            </w:pPr>
            <w:r w:rsidRPr="00E46313">
              <w:rPr>
                <w:rFonts w:ascii="Arial Unicode MS" w:eastAsia="Arial Unicode MS" w:hAnsi="Arial Unicode MS" w:cs="Arial Unicode MS"/>
                <w:color w:val="000000"/>
                <w:sz w:val="20"/>
                <w:szCs w:val="20"/>
              </w:rPr>
              <w:t>71.3</w:t>
            </w:r>
          </w:p>
        </w:tc>
      </w:tr>
      <w:tr w:rsidR="00B368D6" w:rsidTr="009E35C6">
        <w:tc>
          <w:tcPr>
            <w:tcW w:w="5841" w:type="dxa"/>
            <w:shd w:val="clear" w:color="auto" w:fill="E7E6E6" w:themeFill="background2"/>
          </w:tcPr>
          <w:p w:rsidR="00E46313" w:rsidRPr="00E46313" w:rsidRDefault="00E56C9A" w:rsidP="009E35C6">
            <w:pPr>
              <w:autoSpaceDE w:val="0"/>
              <w:autoSpaceDN w:val="0"/>
              <w:adjustRightInd w:val="0"/>
              <w:jc w:val="both"/>
              <w:rPr>
                <w:rFonts w:ascii="Arial Unicode MS" w:eastAsia="Arial Unicode MS" w:hAnsi="Arial Unicode MS" w:cs="Arial Unicode MS"/>
                <w:b/>
                <w:color w:val="000000"/>
                <w:sz w:val="20"/>
                <w:szCs w:val="20"/>
              </w:rPr>
            </w:pPr>
            <w:r w:rsidRPr="00E46313">
              <w:rPr>
                <w:rFonts w:ascii="Arial Unicode MS" w:eastAsia="Arial Unicode MS" w:hAnsi="Arial Unicode MS" w:cs="Arial Unicode MS"/>
                <w:b/>
                <w:bCs/>
                <w:color w:val="000000"/>
                <w:sz w:val="20"/>
                <w:szCs w:val="20"/>
              </w:rPr>
              <w:t xml:space="preserve">Market </w:t>
            </w:r>
            <w:r w:rsidRPr="00E46313">
              <w:rPr>
                <w:rFonts w:ascii="Arial Unicode MS" w:eastAsia="Arial Unicode MS" w:hAnsi="Arial Unicode MS" w:cs="Arial Unicode MS"/>
                <w:b/>
                <w:bCs/>
                <w:color w:val="000000"/>
                <w:sz w:val="20"/>
                <w:szCs w:val="20"/>
              </w:rPr>
              <w:t>value 31 March 2017</w:t>
            </w:r>
          </w:p>
        </w:tc>
        <w:tc>
          <w:tcPr>
            <w:tcW w:w="3175" w:type="dxa"/>
            <w:shd w:val="clear" w:color="auto" w:fill="E7E6E6" w:themeFill="background2"/>
          </w:tcPr>
          <w:p w:rsidR="00E46313" w:rsidRPr="00E46313" w:rsidRDefault="00E56C9A" w:rsidP="009E35C6">
            <w:pPr>
              <w:autoSpaceDE w:val="0"/>
              <w:autoSpaceDN w:val="0"/>
              <w:adjustRightInd w:val="0"/>
              <w:jc w:val="right"/>
              <w:rPr>
                <w:rFonts w:ascii="Arial Unicode MS" w:eastAsia="Arial Unicode MS" w:hAnsi="Arial Unicode MS" w:cs="Arial Unicode MS"/>
                <w:b/>
                <w:color w:val="000000"/>
                <w:sz w:val="20"/>
                <w:szCs w:val="20"/>
              </w:rPr>
            </w:pPr>
            <w:r w:rsidRPr="00E46313">
              <w:rPr>
                <w:rFonts w:ascii="Arial Unicode MS" w:eastAsia="Arial Unicode MS" w:hAnsi="Arial Unicode MS" w:cs="Arial Unicode MS"/>
                <w:b/>
                <w:color w:val="000000"/>
                <w:sz w:val="20"/>
                <w:szCs w:val="20"/>
              </w:rPr>
              <w:t>2,789.5</w:t>
            </w:r>
          </w:p>
        </w:tc>
      </w:tr>
    </w:tbl>
    <w:p w:rsidR="00185482" w:rsidRPr="00076CE1" w:rsidRDefault="00E56C9A" w:rsidP="00185482">
      <w:pPr>
        <w:autoSpaceDE w:val="0"/>
        <w:autoSpaceDN w:val="0"/>
        <w:adjustRightInd w:val="0"/>
        <w:jc w:val="both"/>
        <w:rPr>
          <w:rFonts w:ascii="Arial" w:eastAsia="Arial Unicode MS" w:hAnsi="Arial" w:cs="Arial"/>
          <w:b/>
          <w:color w:val="000000"/>
          <w:sz w:val="32"/>
          <w:szCs w:val="22"/>
        </w:rPr>
      </w:pPr>
    </w:p>
    <w:p w:rsidR="00185482" w:rsidRPr="00076CE1" w:rsidRDefault="00E56C9A" w:rsidP="00185482">
      <w:pPr>
        <w:autoSpaceDE w:val="0"/>
        <w:autoSpaceDN w:val="0"/>
        <w:adjustRightInd w:val="0"/>
        <w:jc w:val="both"/>
        <w:rPr>
          <w:rFonts w:ascii="Arial" w:eastAsia="Arial Unicode MS" w:hAnsi="Arial" w:cs="Arial"/>
          <w:color w:val="000000"/>
          <w:sz w:val="22"/>
          <w:szCs w:val="22"/>
        </w:rPr>
      </w:pPr>
    </w:p>
    <w:p w:rsidR="00DC78E9" w:rsidRPr="00076CE1" w:rsidRDefault="00E56C9A" w:rsidP="00DC78E9">
      <w:pPr>
        <w:tabs>
          <w:tab w:val="left" w:pos="1080"/>
        </w:tabs>
        <w:autoSpaceDE w:val="0"/>
        <w:autoSpaceDN w:val="0"/>
        <w:adjustRightInd w:val="0"/>
        <w:ind w:left="709"/>
        <w:jc w:val="both"/>
        <w:rPr>
          <w:rFonts w:ascii="Arial" w:eastAsia="Arial Unicode MS" w:hAnsi="Arial" w:cs="Arial"/>
          <w:color w:val="000000"/>
          <w:sz w:val="20"/>
          <w:szCs w:val="20"/>
        </w:rPr>
      </w:pPr>
    </w:p>
    <w:p w:rsidR="00DC78E9" w:rsidRPr="00076CE1" w:rsidRDefault="00E56C9A" w:rsidP="00230076">
      <w:pPr>
        <w:autoSpaceDE w:val="0"/>
        <w:autoSpaceDN w:val="0"/>
        <w:adjustRightInd w:val="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8</w:t>
      </w:r>
      <w:r w:rsidRPr="00076CE1">
        <w:rPr>
          <w:rFonts w:ascii="Arial" w:eastAsia="Arial Unicode MS" w:hAnsi="Arial" w:cs="Arial"/>
          <w:b/>
          <w:color w:val="000000"/>
          <w:sz w:val="32"/>
          <w:szCs w:val="22"/>
        </w:rPr>
        <w:t>. NATURE</w:t>
      </w:r>
      <w:r w:rsidRPr="00076CE1">
        <w:rPr>
          <w:rFonts w:ascii="Arial" w:eastAsia="Arial Unicode MS" w:hAnsi="Arial" w:cs="Arial"/>
          <w:b/>
          <w:color w:val="000000"/>
          <w:sz w:val="32"/>
          <w:szCs w:val="22"/>
        </w:rPr>
        <w:t xml:space="preserve"> AND EXTENT OF RISKS ARISING FROM FINANCIAL INSTRUMENTS</w:t>
      </w:r>
    </w:p>
    <w:p w:rsidR="00DC78E9" w:rsidRPr="00076CE1" w:rsidRDefault="00E56C9A" w:rsidP="00DC78E9">
      <w:pPr>
        <w:autoSpaceDE w:val="0"/>
        <w:autoSpaceDN w:val="0"/>
        <w:adjustRightInd w:val="0"/>
        <w:ind w:firstLine="720"/>
        <w:jc w:val="both"/>
        <w:rPr>
          <w:rFonts w:ascii="Arial" w:eastAsia="Arial Unicode MS" w:hAnsi="Arial" w:cs="Arial"/>
          <w:color w:val="000000"/>
          <w:szCs w:val="22"/>
        </w:rPr>
      </w:pPr>
    </w:p>
    <w:p w:rsidR="00DC78E9" w:rsidRPr="00076CE1" w:rsidRDefault="00E56C9A" w:rsidP="00DC78E9">
      <w:pPr>
        <w:autoSpaceDE w:val="0"/>
        <w:autoSpaceDN w:val="0"/>
        <w:adjustRightInd w:val="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8</w:t>
      </w:r>
      <w:r w:rsidRPr="00076CE1">
        <w:rPr>
          <w:rFonts w:ascii="Arial" w:eastAsia="Arial Unicode MS" w:hAnsi="Arial" w:cs="Arial"/>
          <w:b/>
          <w:color w:val="000000"/>
          <w:sz w:val="32"/>
          <w:szCs w:val="22"/>
        </w:rPr>
        <w:t xml:space="preserve">.1 Risk and risk management </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Fund's primary long-term risk is that the Fund's assets will fall short of its liabilities (i.e. promised benefits payable to members).  The aim of investment risk management is to balance the minimisation of the risk of an overall reduction in the val</w:t>
      </w:r>
      <w:r w:rsidRPr="00076CE1">
        <w:rPr>
          <w:rFonts w:ascii="Arial" w:eastAsia="Arial Unicode MS" w:hAnsi="Arial" w:cs="Arial"/>
          <w:color w:val="000000"/>
          <w:sz w:val="22"/>
          <w:szCs w:val="22"/>
        </w:rPr>
        <w:t xml:space="preserve">ue of the Fund with maximising the opportunity for gains across the whole Fund portfolio.  The Fund achieves this through asset diversification to reduce exposure to market risk (price risk, currency risk and interest rate risk) and keep credit risk to an </w:t>
      </w:r>
      <w:r w:rsidRPr="00076CE1">
        <w:rPr>
          <w:rFonts w:ascii="Arial" w:eastAsia="Arial Unicode MS" w:hAnsi="Arial" w:cs="Arial"/>
          <w:color w:val="000000"/>
          <w:sz w:val="22"/>
          <w:szCs w:val="22"/>
        </w:rPr>
        <w:t xml:space="preserve">acceptable level.  In addition, the Fund manages its liquidity risk to ensure there is sufficient liquidity to meet the Fund's forecast cash flow.  </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Responsibility for the Fund's risk management strategy rests with the Pension Fund Committee.  Risk </w:t>
      </w:r>
      <w:r w:rsidRPr="00076CE1">
        <w:rPr>
          <w:rFonts w:ascii="Arial" w:eastAsia="Arial Unicode MS" w:hAnsi="Arial" w:cs="Arial"/>
          <w:color w:val="000000"/>
          <w:sz w:val="22"/>
          <w:szCs w:val="22"/>
        </w:rPr>
        <w:t>management policies are established to identify and analyse the risks faced by the Fund's operations.  Policies are reviewed regularly to reflect change in activity and in market conditions.</w:t>
      </w:r>
    </w:p>
    <w:p w:rsidR="00DC78E9" w:rsidRPr="00076CE1" w:rsidRDefault="00E56C9A" w:rsidP="00DC78E9">
      <w:pPr>
        <w:tabs>
          <w:tab w:val="left" w:pos="1080"/>
        </w:tabs>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8</w:t>
      </w:r>
      <w:r w:rsidRPr="00076CE1">
        <w:rPr>
          <w:rFonts w:ascii="Arial" w:eastAsia="Arial Unicode MS" w:hAnsi="Arial" w:cs="Arial"/>
          <w:b/>
          <w:color w:val="000000"/>
          <w:sz w:val="32"/>
          <w:szCs w:val="22"/>
        </w:rPr>
        <w:t xml:space="preserve">.2 Market risk </w:t>
      </w:r>
    </w:p>
    <w:p w:rsidR="00DC78E9" w:rsidRPr="00076CE1" w:rsidRDefault="00E56C9A" w:rsidP="00DC78E9">
      <w:pPr>
        <w:autoSpaceDE w:val="0"/>
        <w:autoSpaceDN w:val="0"/>
        <w:adjustRightInd w:val="0"/>
        <w:ind w:firstLine="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Market risk is risk of loss from fluctuations in equity and commodity prices, interest and foreign exchange rates and credit spreads.  The Fund is exposed to market risk from its investment activities, particularly through its equity holdings.  </w:t>
      </w: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objec</w:t>
      </w:r>
      <w:r w:rsidRPr="00076CE1">
        <w:rPr>
          <w:rFonts w:ascii="Arial" w:eastAsia="Arial Unicode MS" w:hAnsi="Arial" w:cs="Arial"/>
          <w:color w:val="000000"/>
          <w:sz w:val="22"/>
          <w:szCs w:val="22"/>
        </w:rPr>
        <w:t>tive of the Fund's risk management strategy is to identify, manage and keep market risk exposure within acceptable parameters, whilst optimising the return on risk.</w:t>
      </w: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In general, excessive volatility in market risk is managed through the diversification of </w:t>
      </w:r>
      <w:r w:rsidRPr="00076CE1">
        <w:rPr>
          <w:rFonts w:ascii="Arial" w:eastAsia="Arial Unicode MS" w:hAnsi="Arial" w:cs="Arial"/>
          <w:color w:val="000000"/>
          <w:sz w:val="22"/>
          <w:szCs w:val="22"/>
        </w:rPr>
        <w:t xml:space="preserve">the portfolio in terms of geographical and industry sectors and individual securities.  To mitigate market risk, the Fund and its investment advisors undertake appropriate monitoring of market conditions and benchmarking analysis. </w:t>
      </w:r>
    </w:p>
    <w:p w:rsidR="00DC78E9" w:rsidRPr="00076CE1" w:rsidRDefault="00E56C9A" w:rsidP="00DC78E9">
      <w:pPr>
        <w:autoSpaceDE w:val="0"/>
        <w:autoSpaceDN w:val="0"/>
        <w:adjustRightInd w:val="0"/>
        <w:ind w:left="720"/>
        <w:jc w:val="both"/>
        <w:rPr>
          <w:rFonts w:ascii="Arial" w:eastAsia="Arial Unicode MS" w:hAnsi="Arial" w:cs="Arial"/>
          <w:b/>
          <w:color w:val="000000"/>
          <w:sz w:val="22"/>
          <w:szCs w:val="22"/>
        </w:rPr>
      </w:pPr>
    </w:p>
    <w:p w:rsidR="00DC78E9" w:rsidRPr="00076CE1" w:rsidRDefault="00E56C9A" w:rsidP="00DC78E9">
      <w:pPr>
        <w:autoSpaceDE w:val="0"/>
        <w:autoSpaceDN w:val="0"/>
        <w:adjustRightInd w:val="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8</w:t>
      </w:r>
      <w:r w:rsidRPr="00076CE1">
        <w:rPr>
          <w:rFonts w:ascii="Arial" w:eastAsia="Arial Unicode MS" w:hAnsi="Arial" w:cs="Arial"/>
          <w:b/>
          <w:color w:val="000000"/>
          <w:sz w:val="32"/>
          <w:szCs w:val="22"/>
        </w:rPr>
        <w:t xml:space="preserve">.3 Other price risk  </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Other price risk represents the risk that the value of a financial instrument will fluctuate as a result of changes in market prices (other than those arising from interest rate risk or foreign exchange risk), whether those changes are caused by factors </w:t>
      </w:r>
      <w:r w:rsidRPr="00076CE1">
        <w:rPr>
          <w:rFonts w:ascii="Arial" w:eastAsia="Arial Unicode MS" w:hAnsi="Arial" w:cs="Arial"/>
          <w:color w:val="000000"/>
          <w:sz w:val="22"/>
          <w:szCs w:val="22"/>
        </w:rPr>
        <w:t xml:space="preserve">specific to the individual instrument or its issuer or factors affecting all such instruments in the market.     </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Fund is exposed to share and derivatives price risk.  This arises from investments held by the Fund for which the future price is uncerta</w:t>
      </w:r>
      <w:r w:rsidRPr="00076CE1">
        <w:rPr>
          <w:rFonts w:ascii="Arial" w:eastAsia="Arial Unicode MS" w:hAnsi="Arial" w:cs="Arial"/>
          <w:color w:val="000000"/>
          <w:sz w:val="22"/>
          <w:szCs w:val="22"/>
        </w:rPr>
        <w:t>in.  All securities investments present a risk of loss of capital.  Except for shares sold short, the maximum risk resulting from financial instruments is determined by the fair value of the financial instruments.  Possible losses from shares sold short is</w:t>
      </w:r>
      <w:r w:rsidRPr="00076CE1">
        <w:rPr>
          <w:rFonts w:ascii="Arial" w:eastAsia="Arial Unicode MS" w:hAnsi="Arial" w:cs="Arial"/>
          <w:color w:val="000000"/>
          <w:sz w:val="22"/>
          <w:szCs w:val="22"/>
        </w:rPr>
        <w:t xml:space="preserve"> unlimited. </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Fund's investment managers mitigate this price risk through diversification.  The selection of securities and other financial instruments is monitored by the Fund to ensure it is within limits specified in the fund investment strategy.</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 </w:t>
      </w:r>
    </w:p>
    <w:p w:rsidR="00DC78E9" w:rsidRPr="00076CE1" w:rsidRDefault="00E56C9A" w:rsidP="00DC78E9">
      <w:pPr>
        <w:autoSpaceDE w:val="0"/>
        <w:autoSpaceDN w:val="0"/>
        <w:adjustRightInd w:val="0"/>
        <w:ind w:left="720" w:hanging="72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8</w:t>
      </w:r>
      <w:r w:rsidRPr="00076CE1">
        <w:rPr>
          <w:rFonts w:ascii="Arial" w:eastAsia="Arial Unicode MS" w:hAnsi="Arial" w:cs="Arial"/>
          <w:b/>
          <w:color w:val="000000"/>
          <w:sz w:val="32"/>
          <w:szCs w:val="22"/>
        </w:rPr>
        <w:t>.3.1 Other price risk – sensitivity analysis</w:t>
      </w:r>
    </w:p>
    <w:p w:rsidR="00DC78E9" w:rsidRPr="00076CE1" w:rsidRDefault="00E56C9A" w:rsidP="00DC78E9">
      <w:pPr>
        <w:autoSpaceDE w:val="0"/>
        <w:autoSpaceDN w:val="0"/>
        <w:adjustRightInd w:val="0"/>
        <w:jc w:val="both"/>
        <w:rPr>
          <w:rFonts w:ascii="Arial" w:eastAsia="Arial Unicode MS" w:hAnsi="Arial" w:cs="Arial"/>
          <w:b/>
          <w:color w:val="000000"/>
          <w:sz w:val="28"/>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Following analysis of historical data and expected investment return movement during the financial year, in consultation with the Fund's investment advisors, the Fund has determined that the following movemen</w:t>
      </w:r>
      <w:r w:rsidRPr="00076CE1">
        <w:rPr>
          <w:rFonts w:ascii="Arial" w:eastAsia="Arial Unicode MS" w:hAnsi="Arial" w:cs="Arial"/>
          <w:color w:val="000000"/>
          <w:sz w:val="22"/>
          <w:szCs w:val="22"/>
        </w:rPr>
        <w:t xml:space="preserve">ts in market price risks are reasonably possible for the </w:t>
      </w:r>
      <w:r w:rsidRPr="00076CE1">
        <w:rPr>
          <w:rFonts w:ascii="Arial" w:eastAsia="Arial Unicode MS" w:hAnsi="Arial" w:cs="Arial"/>
          <w:color w:val="000000"/>
          <w:sz w:val="22"/>
          <w:szCs w:val="22"/>
        </w:rPr>
        <w:t>2016/17</w:t>
      </w:r>
      <w:r w:rsidRPr="00076CE1">
        <w:rPr>
          <w:rFonts w:ascii="Arial" w:eastAsia="Arial Unicode MS" w:hAnsi="Arial" w:cs="Arial"/>
          <w:color w:val="000000"/>
          <w:sz w:val="22"/>
          <w:szCs w:val="22"/>
        </w:rPr>
        <w:t xml:space="preserve"> reporting period. </w:t>
      </w:r>
    </w:p>
    <w:p w:rsidR="00DC78E9" w:rsidRPr="00076CE1" w:rsidRDefault="00E56C9A" w:rsidP="00DC78E9">
      <w:pPr>
        <w:tabs>
          <w:tab w:val="left" w:pos="1080"/>
        </w:tabs>
        <w:autoSpaceDE w:val="0"/>
        <w:autoSpaceDN w:val="0"/>
        <w:adjustRightInd w:val="0"/>
        <w:ind w:left="709"/>
        <w:jc w:val="both"/>
        <w:rPr>
          <w:rFonts w:ascii="Arial" w:eastAsia="Arial Unicode MS" w:hAnsi="Arial" w:cs="Arial"/>
          <w:color w:val="000000"/>
          <w:sz w:val="22"/>
          <w:szCs w:val="22"/>
        </w:rPr>
      </w:pPr>
    </w:p>
    <w:tbl>
      <w:tblPr>
        <w:tblStyle w:val="TableGrid2"/>
        <w:tblW w:w="0" w:type="auto"/>
        <w:tblInd w:w="-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951"/>
        <w:gridCol w:w="3640"/>
      </w:tblGrid>
      <w:tr w:rsidR="00B368D6" w:rsidTr="00105290">
        <w:trPr>
          <w:trHeight w:val="431"/>
        </w:trPr>
        <w:tc>
          <w:tcPr>
            <w:tcW w:w="5954"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2"/>
              </w:rPr>
            </w:pPr>
            <w:r w:rsidRPr="00076CE1">
              <w:rPr>
                <w:rFonts w:ascii="Arial" w:eastAsia="Arial Unicode MS" w:hAnsi="Arial" w:cs="Arial"/>
                <w:b/>
                <w:color w:val="000000"/>
                <w:sz w:val="20"/>
                <w:szCs w:val="22"/>
              </w:rPr>
              <w:t>Asset type</w:t>
            </w:r>
          </w:p>
        </w:tc>
        <w:tc>
          <w:tcPr>
            <w:tcW w:w="3641"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Potential market movements (+/-)</w:t>
            </w:r>
          </w:p>
        </w:tc>
      </w:tr>
      <w:tr w:rsidR="00B368D6" w:rsidTr="00105290">
        <w:trPr>
          <w:trHeight w:val="431"/>
        </w:trPr>
        <w:tc>
          <w:tcPr>
            <w:tcW w:w="5954" w:type="dxa"/>
            <w:shd w:val="clear" w:color="auto" w:fill="auto"/>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Total bonds (including index linked)</w:t>
            </w:r>
          </w:p>
        </w:tc>
        <w:tc>
          <w:tcPr>
            <w:tcW w:w="3641" w:type="dxa"/>
            <w:shd w:val="clear" w:color="auto" w:fill="auto"/>
          </w:tcPr>
          <w:p w:rsidR="00DC78E9" w:rsidRPr="00C24477" w:rsidRDefault="00E56C9A" w:rsidP="00CF59E1">
            <w:pPr>
              <w:tabs>
                <w:tab w:val="left" w:pos="1080"/>
              </w:tabs>
              <w:autoSpaceDE w:val="0"/>
              <w:autoSpaceDN w:val="0"/>
              <w:adjustRightInd w:val="0"/>
              <w:ind w:left="2129" w:hanging="142"/>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6.4%</w:t>
            </w:r>
          </w:p>
        </w:tc>
      </w:tr>
      <w:tr w:rsidR="00B368D6" w:rsidTr="00FF5BE0">
        <w:trPr>
          <w:trHeight w:val="385"/>
        </w:trPr>
        <w:tc>
          <w:tcPr>
            <w:tcW w:w="5954" w:type="dxa"/>
            <w:shd w:val="clear" w:color="auto" w:fill="auto"/>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Total equities</w:t>
            </w:r>
          </w:p>
        </w:tc>
        <w:tc>
          <w:tcPr>
            <w:tcW w:w="3641" w:type="dxa"/>
            <w:shd w:val="clear" w:color="auto" w:fill="auto"/>
          </w:tcPr>
          <w:p w:rsidR="00DC78E9" w:rsidRPr="00C24477" w:rsidRDefault="00E56C9A" w:rsidP="00105290">
            <w:pPr>
              <w:tabs>
                <w:tab w:val="left" w:pos="1080"/>
              </w:tabs>
              <w:autoSpaceDE w:val="0"/>
              <w:autoSpaceDN w:val="0"/>
              <w:adjustRightInd w:val="0"/>
              <w:ind w:left="1987"/>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9</w:t>
            </w:r>
            <w:r w:rsidRPr="00C24477">
              <w:rPr>
                <w:rFonts w:ascii="Arial" w:eastAsia="Arial Unicode MS" w:hAnsi="Arial" w:cs="Arial"/>
                <w:color w:val="000000"/>
                <w:sz w:val="20"/>
                <w:szCs w:val="22"/>
              </w:rPr>
              <w:t>.6%</w:t>
            </w:r>
          </w:p>
        </w:tc>
      </w:tr>
      <w:tr w:rsidR="00B368D6" w:rsidTr="00105290">
        <w:trPr>
          <w:trHeight w:val="431"/>
        </w:trPr>
        <w:tc>
          <w:tcPr>
            <w:tcW w:w="5954" w:type="dxa"/>
            <w:shd w:val="clear" w:color="auto" w:fill="auto"/>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Alternatives</w:t>
            </w:r>
          </w:p>
        </w:tc>
        <w:tc>
          <w:tcPr>
            <w:tcW w:w="3641" w:type="dxa"/>
            <w:shd w:val="clear" w:color="auto" w:fill="auto"/>
          </w:tcPr>
          <w:p w:rsidR="00DC78E9" w:rsidRPr="00C24477" w:rsidRDefault="00E56C9A" w:rsidP="00105290">
            <w:pPr>
              <w:tabs>
                <w:tab w:val="left" w:pos="1080"/>
              </w:tabs>
              <w:autoSpaceDE w:val="0"/>
              <w:autoSpaceDN w:val="0"/>
              <w:adjustRightInd w:val="0"/>
              <w:ind w:left="1987"/>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6.4%</w:t>
            </w:r>
          </w:p>
        </w:tc>
      </w:tr>
      <w:tr w:rsidR="00B368D6" w:rsidTr="00105290">
        <w:trPr>
          <w:trHeight w:val="431"/>
        </w:trPr>
        <w:tc>
          <w:tcPr>
            <w:tcW w:w="5954" w:type="dxa"/>
            <w:shd w:val="clear" w:color="auto" w:fill="auto"/>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Total property</w:t>
            </w:r>
          </w:p>
        </w:tc>
        <w:tc>
          <w:tcPr>
            <w:tcW w:w="3641" w:type="dxa"/>
            <w:shd w:val="clear" w:color="auto" w:fill="auto"/>
          </w:tcPr>
          <w:p w:rsidR="00DC78E9" w:rsidRPr="00C24477" w:rsidRDefault="00E56C9A" w:rsidP="00105290">
            <w:pPr>
              <w:tabs>
                <w:tab w:val="left" w:pos="1080"/>
              </w:tabs>
              <w:autoSpaceDE w:val="0"/>
              <w:autoSpaceDN w:val="0"/>
              <w:adjustRightInd w:val="0"/>
              <w:ind w:left="1987"/>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2.4%</w:t>
            </w:r>
          </w:p>
        </w:tc>
      </w:tr>
    </w:tbl>
    <w:p w:rsidR="002A5E15" w:rsidRDefault="00E56C9A" w:rsidP="00DC78E9">
      <w:pPr>
        <w:autoSpaceDE w:val="0"/>
        <w:autoSpaceDN w:val="0"/>
        <w:adjustRightInd w:val="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sensitivities are</w:t>
      </w:r>
      <w:r w:rsidRPr="00076CE1">
        <w:rPr>
          <w:rFonts w:ascii="Arial" w:eastAsia="Arial Unicode MS" w:hAnsi="Arial" w:cs="Arial"/>
          <w:color w:val="000000"/>
          <w:sz w:val="22"/>
          <w:szCs w:val="22"/>
        </w:rPr>
        <w:t xml:space="preserve"> consistent with the assumption contained in the investment advisors' most recent review.  This analysis assumes that all other variables, in particular foreign currency exchange rates and interest rates, remain the same.  Had the market of the Fund's inve</w:t>
      </w:r>
      <w:r w:rsidRPr="00076CE1">
        <w:rPr>
          <w:rFonts w:ascii="Arial" w:eastAsia="Arial Unicode MS" w:hAnsi="Arial" w:cs="Arial"/>
          <w:color w:val="000000"/>
          <w:sz w:val="22"/>
          <w:szCs w:val="22"/>
        </w:rPr>
        <w:t>stments increased/decreased in line with the above, the change in the net assets available to pay benefits in the market place would have been as follows (the prior year comparator is also shown):</w:t>
      </w:r>
    </w:p>
    <w:p w:rsidR="00DC78E9" w:rsidRPr="00076CE1" w:rsidRDefault="00E56C9A" w:rsidP="00DC78E9">
      <w:pPr>
        <w:tabs>
          <w:tab w:val="left" w:pos="1080"/>
        </w:tabs>
        <w:autoSpaceDE w:val="0"/>
        <w:autoSpaceDN w:val="0"/>
        <w:adjustRightInd w:val="0"/>
        <w:ind w:left="709"/>
        <w:jc w:val="both"/>
        <w:rPr>
          <w:rFonts w:ascii="Arial" w:eastAsia="Arial Unicode MS" w:hAnsi="Arial" w:cs="Arial"/>
          <w:color w:val="000000"/>
          <w:sz w:val="22"/>
          <w:szCs w:val="22"/>
        </w:rPr>
      </w:pPr>
    </w:p>
    <w:tbl>
      <w:tblPr>
        <w:tblStyle w:val="TableGrid2"/>
        <w:tblW w:w="0" w:type="auto"/>
        <w:tblInd w:w="-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4111"/>
        <w:gridCol w:w="1371"/>
        <w:gridCol w:w="1371"/>
        <w:gridCol w:w="1371"/>
        <w:gridCol w:w="1371"/>
      </w:tblGrid>
      <w:tr w:rsidR="00B368D6" w:rsidTr="00105290">
        <w:trPr>
          <w:trHeight w:val="431"/>
        </w:trPr>
        <w:tc>
          <w:tcPr>
            <w:tcW w:w="4111" w:type="dxa"/>
            <w:tcBorders>
              <w:bottom w:val="nil"/>
            </w:tcBorders>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2"/>
              </w:rPr>
            </w:pPr>
            <w:r w:rsidRPr="00076CE1">
              <w:rPr>
                <w:rFonts w:ascii="Arial" w:eastAsia="Arial Unicode MS" w:hAnsi="Arial" w:cs="Arial"/>
                <w:b/>
                <w:color w:val="000000"/>
                <w:sz w:val="20"/>
                <w:szCs w:val="22"/>
              </w:rPr>
              <w:t>Asset type</w:t>
            </w: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31 March 2017</w:t>
            </w: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Percentage change</w:t>
            </w: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 xml:space="preserve">Value on </w:t>
            </w:r>
            <w:r w:rsidRPr="00076CE1">
              <w:rPr>
                <w:rFonts w:ascii="Arial" w:eastAsia="Arial Unicode MS" w:hAnsi="Arial" w:cs="Arial"/>
                <w:b/>
                <w:color w:val="000000"/>
                <w:sz w:val="20"/>
                <w:szCs w:val="22"/>
              </w:rPr>
              <w:t>increase</w:t>
            </w: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Value on decrease</w:t>
            </w:r>
          </w:p>
        </w:tc>
      </w:tr>
      <w:tr w:rsidR="00B368D6" w:rsidTr="00105290">
        <w:trPr>
          <w:trHeight w:val="431"/>
        </w:trPr>
        <w:tc>
          <w:tcPr>
            <w:tcW w:w="4111" w:type="dxa"/>
            <w:tcBorders>
              <w:top w:val="nil"/>
            </w:tcBorders>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p>
        </w:tc>
        <w:tc>
          <w:tcPr>
            <w:tcW w:w="1371"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£m</w:t>
            </w:r>
          </w:p>
        </w:tc>
        <w:tc>
          <w:tcPr>
            <w:tcW w:w="1371"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w:t>
            </w:r>
          </w:p>
        </w:tc>
        <w:tc>
          <w:tcPr>
            <w:tcW w:w="1371"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£m</w:t>
            </w:r>
          </w:p>
        </w:tc>
        <w:tc>
          <w:tcPr>
            <w:tcW w:w="1371"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£m</w:t>
            </w:r>
          </w:p>
        </w:tc>
      </w:tr>
      <w:tr w:rsidR="00B368D6" w:rsidTr="00105290">
        <w:trPr>
          <w:trHeight w:val="431"/>
        </w:trPr>
        <w:tc>
          <w:tcPr>
            <w:tcW w:w="4111"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Investment portfolio assets:</w:t>
            </w: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p>
        </w:tc>
      </w:tr>
      <w:tr w:rsidR="00B368D6" w:rsidTr="009C43B7">
        <w:trPr>
          <w:trHeight w:val="431"/>
        </w:trPr>
        <w:tc>
          <w:tcPr>
            <w:tcW w:w="411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Total bonds (including index linked)</w:t>
            </w:r>
          </w:p>
        </w:tc>
        <w:tc>
          <w:tcPr>
            <w:tcW w:w="1371" w:type="dxa"/>
            <w:shd w:val="clear" w:color="auto" w:fill="auto"/>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Pr>
                <w:rFonts w:ascii="Arial" w:eastAsia="Arial Unicode MS" w:hAnsi="Arial" w:cs="Arial"/>
                <w:color w:val="000000"/>
                <w:sz w:val="20"/>
                <w:szCs w:val="22"/>
              </w:rPr>
              <w:t>1,433.1</w:t>
            </w: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6.4%</w:t>
            </w: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1,524.8</w:t>
            </w: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1,341.4</w:t>
            </w:r>
          </w:p>
        </w:tc>
      </w:tr>
      <w:tr w:rsidR="00B368D6" w:rsidTr="00FF5BE0">
        <w:trPr>
          <w:trHeight w:val="431"/>
        </w:trPr>
        <w:tc>
          <w:tcPr>
            <w:tcW w:w="411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Total equities</w:t>
            </w:r>
          </w:p>
        </w:tc>
        <w:tc>
          <w:tcPr>
            <w:tcW w:w="1371" w:type="dxa"/>
            <w:shd w:val="clear" w:color="auto" w:fill="auto"/>
          </w:tcPr>
          <w:p w:rsidR="00DC78E9" w:rsidRPr="00076CE1" w:rsidRDefault="00E56C9A" w:rsidP="002A5E15">
            <w:pPr>
              <w:tabs>
                <w:tab w:val="left" w:pos="1080"/>
              </w:tabs>
              <w:autoSpaceDE w:val="0"/>
              <w:autoSpaceDN w:val="0"/>
              <w:adjustRightInd w:val="0"/>
              <w:jc w:val="right"/>
              <w:rPr>
                <w:rFonts w:ascii="Arial" w:eastAsia="Arial Unicode MS" w:hAnsi="Arial" w:cs="Arial"/>
                <w:color w:val="000000"/>
                <w:sz w:val="20"/>
                <w:szCs w:val="22"/>
              </w:rPr>
            </w:pPr>
            <w:r>
              <w:rPr>
                <w:rFonts w:ascii="Arial" w:eastAsia="Arial Unicode MS" w:hAnsi="Arial" w:cs="Arial"/>
                <w:color w:val="000000"/>
                <w:sz w:val="20"/>
                <w:szCs w:val="22"/>
              </w:rPr>
              <w:t>3,649.1</w:t>
            </w: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9.6%</w:t>
            </w: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3,999.4</w:t>
            </w: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3,298.8</w:t>
            </w:r>
          </w:p>
        </w:tc>
      </w:tr>
      <w:tr w:rsidR="00B368D6" w:rsidTr="009C43B7">
        <w:trPr>
          <w:trHeight w:val="431"/>
        </w:trPr>
        <w:tc>
          <w:tcPr>
            <w:tcW w:w="411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Alternatives</w:t>
            </w:r>
          </w:p>
        </w:tc>
        <w:tc>
          <w:tcPr>
            <w:tcW w:w="1371" w:type="dxa"/>
            <w:shd w:val="clear" w:color="auto" w:fill="auto"/>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Pr>
                <w:rFonts w:ascii="Arial" w:eastAsia="Arial Unicode MS" w:hAnsi="Arial" w:cs="Arial"/>
                <w:color w:val="000000"/>
                <w:sz w:val="20"/>
                <w:szCs w:val="22"/>
              </w:rPr>
              <w:t>1,313.8</w:t>
            </w: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6.4%</w:t>
            </w: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1,397.9</w:t>
            </w: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1,229.8</w:t>
            </w:r>
          </w:p>
        </w:tc>
      </w:tr>
      <w:tr w:rsidR="00B368D6" w:rsidTr="00FF5BE0">
        <w:trPr>
          <w:trHeight w:val="431"/>
        </w:trPr>
        <w:tc>
          <w:tcPr>
            <w:tcW w:w="411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Total property</w:t>
            </w:r>
          </w:p>
        </w:tc>
        <w:tc>
          <w:tcPr>
            <w:tcW w:w="1371" w:type="dxa"/>
            <w:shd w:val="clear" w:color="auto" w:fill="auto"/>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Pr>
                <w:rFonts w:ascii="Arial" w:eastAsia="Arial Unicode MS" w:hAnsi="Arial" w:cs="Arial"/>
                <w:color w:val="000000"/>
                <w:sz w:val="20"/>
                <w:szCs w:val="22"/>
              </w:rPr>
              <w:t>736.4</w:t>
            </w: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2.4%</w:t>
            </w: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746.7</w:t>
            </w: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726.1</w:t>
            </w:r>
          </w:p>
        </w:tc>
      </w:tr>
      <w:tr w:rsidR="00B368D6" w:rsidTr="009C43B7">
        <w:trPr>
          <w:trHeight w:val="431"/>
        </w:trPr>
        <w:tc>
          <w:tcPr>
            <w:tcW w:w="4111"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2"/>
              </w:rPr>
            </w:pPr>
            <w:r w:rsidRPr="00076CE1">
              <w:rPr>
                <w:rFonts w:ascii="Arial" w:eastAsia="Arial Unicode MS" w:hAnsi="Arial" w:cs="Arial"/>
                <w:b/>
                <w:color w:val="000000"/>
                <w:sz w:val="20"/>
                <w:szCs w:val="22"/>
              </w:rPr>
              <w:t>Total assets available to pay benefits</w:t>
            </w:r>
          </w:p>
        </w:tc>
        <w:tc>
          <w:tcPr>
            <w:tcW w:w="1371" w:type="dxa"/>
            <w:shd w:val="clear" w:color="auto" w:fill="auto"/>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r>
              <w:rPr>
                <w:rFonts w:ascii="Arial" w:eastAsia="Arial Unicode MS" w:hAnsi="Arial" w:cs="Arial"/>
                <w:b/>
                <w:color w:val="000000"/>
                <w:sz w:val="20"/>
                <w:szCs w:val="22"/>
              </w:rPr>
              <w:t>7,132.4</w:t>
            </w: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r w:rsidRPr="00C24477">
              <w:rPr>
                <w:rFonts w:ascii="Arial" w:eastAsia="Arial Unicode MS" w:hAnsi="Arial" w:cs="Arial"/>
                <w:b/>
                <w:color w:val="000000"/>
                <w:sz w:val="20"/>
                <w:szCs w:val="22"/>
              </w:rPr>
              <w:t>7,676.2</w:t>
            </w:r>
          </w:p>
        </w:tc>
        <w:tc>
          <w:tcPr>
            <w:tcW w:w="1371" w:type="dxa"/>
            <w:shd w:val="clear" w:color="auto" w:fill="auto"/>
          </w:tcPr>
          <w:p w:rsidR="00DC78E9" w:rsidRPr="00C24477"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r w:rsidRPr="00C24477">
              <w:rPr>
                <w:rFonts w:ascii="Arial" w:eastAsia="Arial Unicode MS" w:hAnsi="Arial" w:cs="Arial"/>
                <w:b/>
                <w:color w:val="000000"/>
                <w:sz w:val="20"/>
                <w:szCs w:val="22"/>
              </w:rPr>
              <w:t>6,588.6</w:t>
            </w:r>
          </w:p>
        </w:tc>
      </w:tr>
    </w:tbl>
    <w:p w:rsidR="00DC78E9" w:rsidRPr="00076CE1" w:rsidRDefault="00E56C9A" w:rsidP="00DC78E9">
      <w:pPr>
        <w:tabs>
          <w:tab w:val="left" w:pos="1080"/>
        </w:tabs>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tabs>
          <w:tab w:val="left" w:pos="1080"/>
        </w:tabs>
        <w:autoSpaceDE w:val="0"/>
        <w:autoSpaceDN w:val="0"/>
        <w:adjustRightInd w:val="0"/>
        <w:ind w:left="709"/>
        <w:jc w:val="both"/>
        <w:rPr>
          <w:rFonts w:ascii="Arial" w:eastAsia="Arial Unicode MS" w:hAnsi="Arial" w:cs="Arial"/>
          <w:color w:val="000000"/>
          <w:sz w:val="22"/>
          <w:szCs w:val="22"/>
        </w:rPr>
      </w:pPr>
    </w:p>
    <w:tbl>
      <w:tblPr>
        <w:tblStyle w:val="TableGrid2"/>
        <w:tblW w:w="0" w:type="auto"/>
        <w:tblInd w:w="-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4111"/>
        <w:gridCol w:w="1371"/>
        <w:gridCol w:w="1371"/>
        <w:gridCol w:w="1371"/>
        <w:gridCol w:w="1371"/>
      </w:tblGrid>
      <w:tr w:rsidR="00B368D6" w:rsidTr="00105290">
        <w:trPr>
          <w:trHeight w:val="431"/>
        </w:trPr>
        <w:tc>
          <w:tcPr>
            <w:tcW w:w="4111" w:type="dxa"/>
            <w:tcBorders>
              <w:bottom w:val="nil"/>
            </w:tcBorders>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2"/>
              </w:rPr>
            </w:pPr>
            <w:r w:rsidRPr="00076CE1">
              <w:rPr>
                <w:rFonts w:ascii="Arial" w:eastAsia="Arial Unicode MS" w:hAnsi="Arial" w:cs="Arial"/>
                <w:b/>
                <w:color w:val="000000"/>
                <w:sz w:val="20"/>
                <w:szCs w:val="22"/>
              </w:rPr>
              <w:lastRenderedPageBreak/>
              <w:t>Asset type</w:t>
            </w: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31 March 2016</w:t>
            </w: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Percentage change</w:t>
            </w: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Value on increase</w:t>
            </w: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Value on decrease</w:t>
            </w:r>
          </w:p>
        </w:tc>
      </w:tr>
      <w:tr w:rsidR="00B368D6" w:rsidTr="00105290">
        <w:trPr>
          <w:trHeight w:val="431"/>
        </w:trPr>
        <w:tc>
          <w:tcPr>
            <w:tcW w:w="4111" w:type="dxa"/>
            <w:tcBorders>
              <w:top w:val="nil"/>
            </w:tcBorders>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p>
        </w:tc>
        <w:tc>
          <w:tcPr>
            <w:tcW w:w="1371"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£m</w:t>
            </w:r>
          </w:p>
        </w:tc>
        <w:tc>
          <w:tcPr>
            <w:tcW w:w="1371"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w:t>
            </w:r>
          </w:p>
        </w:tc>
        <w:tc>
          <w:tcPr>
            <w:tcW w:w="1371"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£m</w:t>
            </w:r>
          </w:p>
        </w:tc>
        <w:tc>
          <w:tcPr>
            <w:tcW w:w="1371" w:type="dxa"/>
            <w:shd w:val="clear" w:color="auto" w:fill="E7E6E6" w:themeFill="background2"/>
            <w:vAlign w:val="center"/>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£m</w:t>
            </w:r>
          </w:p>
        </w:tc>
      </w:tr>
      <w:tr w:rsidR="00B368D6" w:rsidTr="00105290">
        <w:trPr>
          <w:trHeight w:val="431"/>
        </w:trPr>
        <w:tc>
          <w:tcPr>
            <w:tcW w:w="4111"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Investment portfolio assets:</w:t>
            </w: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p>
        </w:tc>
      </w:tr>
      <w:tr w:rsidR="00B368D6" w:rsidTr="00105290">
        <w:trPr>
          <w:trHeight w:val="431"/>
        </w:trPr>
        <w:tc>
          <w:tcPr>
            <w:tcW w:w="411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Total bonds (including index linked)</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1,233.0</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6.4%</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1,311.9</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1,154.1</w:t>
            </w:r>
          </w:p>
        </w:tc>
      </w:tr>
      <w:tr w:rsidR="00B368D6" w:rsidTr="00105290">
        <w:trPr>
          <w:trHeight w:val="431"/>
        </w:trPr>
        <w:tc>
          <w:tcPr>
            <w:tcW w:w="411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Total equities</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2,902.9</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9.6%</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3,181.6</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2,624.2</w:t>
            </w:r>
          </w:p>
        </w:tc>
      </w:tr>
      <w:tr w:rsidR="00B368D6" w:rsidTr="00105290">
        <w:trPr>
          <w:trHeight w:val="431"/>
        </w:trPr>
        <w:tc>
          <w:tcPr>
            <w:tcW w:w="411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Alternatives</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975.7</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6.4%</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1,038.1</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913.3</w:t>
            </w:r>
          </w:p>
        </w:tc>
      </w:tr>
      <w:tr w:rsidR="00B368D6" w:rsidTr="00105290">
        <w:trPr>
          <w:trHeight w:val="431"/>
        </w:trPr>
        <w:tc>
          <w:tcPr>
            <w:tcW w:w="4111"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Total property</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688.8</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2.4%</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705.3</w:t>
            </w:r>
          </w:p>
        </w:tc>
        <w:tc>
          <w:tcPr>
            <w:tcW w:w="1371"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672.3</w:t>
            </w:r>
          </w:p>
        </w:tc>
      </w:tr>
      <w:tr w:rsidR="00B368D6" w:rsidTr="009C43B7">
        <w:trPr>
          <w:trHeight w:val="431"/>
        </w:trPr>
        <w:tc>
          <w:tcPr>
            <w:tcW w:w="4111"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2"/>
              </w:rPr>
            </w:pPr>
            <w:r w:rsidRPr="00076CE1">
              <w:rPr>
                <w:rFonts w:ascii="Arial" w:eastAsia="Arial Unicode MS" w:hAnsi="Arial" w:cs="Arial"/>
                <w:b/>
                <w:color w:val="000000"/>
                <w:sz w:val="20"/>
                <w:szCs w:val="22"/>
              </w:rPr>
              <w:t>Total assets available to pay benefits</w:t>
            </w: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5,800.4</w:t>
            </w: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6,236.9</w:t>
            </w:r>
          </w:p>
        </w:tc>
        <w:tc>
          <w:tcPr>
            <w:tcW w:w="1371"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5,363.9</w:t>
            </w:r>
          </w:p>
        </w:tc>
      </w:tr>
    </w:tbl>
    <w:p w:rsidR="00DC78E9" w:rsidRPr="00076CE1" w:rsidRDefault="00E56C9A" w:rsidP="00DC78E9">
      <w:pPr>
        <w:tabs>
          <w:tab w:val="left" w:pos="1080"/>
        </w:tabs>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8</w:t>
      </w:r>
      <w:r w:rsidRPr="00076CE1">
        <w:rPr>
          <w:rFonts w:ascii="Arial" w:eastAsia="Arial Unicode MS" w:hAnsi="Arial" w:cs="Arial"/>
          <w:b/>
          <w:color w:val="000000"/>
          <w:sz w:val="32"/>
          <w:szCs w:val="22"/>
        </w:rPr>
        <w:t>.4 Interest rate risk</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Fund invests in financial assets for the primary purpose of obtaining a return on investments.  These investments are subject to interest rate risks, which represent the risks that the fair value of future cash flow of a financial instrument will fluct</w:t>
      </w:r>
      <w:r w:rsidRPr="00076CE1">
        <w:rPr>
          <w:rFonts w:ascii="Arial" w:eastAsia="Arial Unicode MS" w:hAnsi="Arial" w:cs="Arial"/>
          <w:color w:val="000000"/>
          <w:sz w:val="22"/>
          <w:szCs w:val="22"/>
        </w:rPr>
        <w:t xml:space="preserve">uate because of changes in market interest rates.  </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Fund's interest rate risk is routinely monitored by the Investment Panel and its investment advisors.  The Fund's direct exposure to interest rate movements as at 31 March 2017 and 31 March 2016 is s</w:t>
      </w:r>
      <w:r w:rsidRPr="00076CE1">
        <w:rPr>
          <w:rFonts w:ascii="Arial" w:eastAsia="Arial Unicode MS" w:hAnsi="Arial" w:cs="Arial"/>
          <w:color w:val="000000"/>
          <w:sz w:val="22"/>
          <w:szCs w:val="22"/>
        </w:rPr>
        <w:t>et out below.  These disclosures present interest rate risk based on the underlying financial assets at fair value.</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05290">
            <w:pPr>
              <w:tabs>
                <w:tab w:val="left" w:pos="717"/>
                <w:tab w:val="left" w:pos="2160"/>
                <w:tab w:val="left" w:pos="6885"/>
              </w:tabs>
              <w:spacing w:after="60"/>
              <w:jc w:val="center"/>
              <w:rPr>
                <w:rFonts w:ascii="Arial" w:eastAsia="Arial Unicode MS" w:hAnsi="Arial" w:cs="Arial"/>
                <w:b/>
                <w:sz w:val="20"/>
                <w:szCs w:val="18"/>
              </w:rPr>
            </w:pPr>
            <w:r w:rsidRPr="00076CE1">
              <w:rPr>
                <w:rFonts w:ascii="Arial" w:eastAsia="Arial Unicode MS" w:hAnsi="Arial" w:cs="Arial"/>
                <w:b/>
                <w:sz w:val="20"/>
                <w:szCs w:val="18"/>
              </w:rPr>
              <w:t>31 March 2016</w:t>
            </w:r>
          </w:p>
        </w:tc>
        <w:tc>
          <w:tcPr>
            <w:tcW w:w="6221" w:type="dxa"/>
            <w:tcBorders>
              <w:bottom w:val="nil"/>
            </w:tcBorders>
            <w:shd w:val="clear" w:color="auto" w:fill="E7E6E6" w:themeFill="background2"/>
          </w:tcPr>
          <w:p w:rsidR="00DC78E9" w:rsidRPr="00076CE1" w:rsidRDefault="00E56C9A" w:rsidP="00105290">
            <w:pPr>
              <w:rPr>
                <w:rFonts w:ascii="Arial" w:eastAsia="Arial Unicode MS" w:hAnsi="Arial" w:cs="Arial"/>
                <w:b/>
                <w:sz w:val="20"/>
                <w:szCs w:val="18"/>
              </w:rPr>
            </w:pPr>
            <w:r w:rsidRPr="00076CE1">
              <w:rPr>
                <w:rFonts w:ascii="Arial" w:eastAsia="Arial Unicode MS" w:hAnsi="Arial" w:cs="Arial"/>
                <w:b/>
                <w:sz w:val="20"/>
                <w:szCs w:val="18"/>
              </w:rPr>
              <w:t>Asset type</w:t>
            </w:r>
          </w:p>
        </w:tc>
        <w:tc>
          <w:tcPr>
            <w:tcW w:w="1701" w:type="dxa"/>
            <w:shd w:val="clear" w:color="auto" w:fill="E7E6E6" w:themeFill="background2"/>
          </w:tcPr>
          <w:p w:rsidR="00DC78E9" w:rsidRPr="00076CE1" w:rsidRDefault="00E56C9A" w:rsidP="00105290">
            <w:pPr>
              <w:tabs>
                <w:tab w:val="left" w:pos="719"/>
                <w:tab w:val="left" w:pos="2160"/>
                <w:tab w:val="left" w:pos="6885"/>
              </w:tabs>
              <w:spacing w:after="60"/>
              <w:jc w:val="center"/>
              <w:rPr>
                <w:rFonts w:ascii="Arial" w:eastAsia="Arial Unicode MS" w:hAnsi="Arial" w:cs="Arial"/>
                <w:b/>
                <w:sz w:val="20"/>
                <w:szCs w:val="18"/>
              </w:rPr>
            </w:pPr>
            <w:r w:rsidRPr="00076CE1">
              <w:rPr>
                <w:rFonts w:ascii="Arial" w:eastAsia="Arial Unicode MS" w:hAnsi="Arial" w:cs="Arial"/>
                <w:b/>
                <w:sz w:val="20"/>
                <w:szCs w:val="18"/>
              </w:rPr>
              <w:t>31 March 2017</w:t>
            </w:r>
          </w:p>
        </w:tc>
      </w:tr>
      <w:tr w:rsidR="00B368D6" w:rsidTr="00105290">
        <w:trPr>
          <w:trHeight w:val="266"/>
        </w:trPr>
        <w:tc>
          <w:tcPr>
            <w:tcW w:w="1717" w:type="dxa"/>
            <w:shd w:val="clear" w:color="auto" w:fill="E7E6E6" w:themeFill="background2"/>
          </w:tcPr>
          <w:p w:rsidR="00DC78E9" w:rsidRPr="00076CE1" w:rsidRDefault="00E56C9A" w:rsidP="004D7695">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4D7695">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4D7695">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2A5E15">
        <w:trPr>
          <w:trHeight w:val="329"/>
        </w:trPr>
        <w:tc>
          <w:tcPr>
            <w:tcW w:w="1717" w:type="dxa"/>
            <w:shd w:val="clear" w:color="auto" w:fill="auto"/>
          </w:tcPr>
          <w:p w:rsidR="00DC78E9" w:rsidRPr="00272C09" w:rsidRDefault="00E56C9A" w:rsidP="00105290">
            <w:pPr>
              <w:tabs>
                <w:tab w:val="left" w:pos="2160"/>
                <w:tab w:val="left" w:pos="6885"/>
              </w:tabs>
              <w:spacing w:after="60"/>
              <w:jc w:val="right"/>
              <w:rPr>
                <w:rFonts w:ascii="Arial" w:eastAsia="Arial Unicode MS" w:hAnsi="Arial" w:cs="Arial"/>
                <w:sz w:val="20"/>
                <w:szCs w:val="18"/>
              </w:rPr>
            </w:pPr>
            <w:r w:rsidRPr="00272C09">
              <w:rPr>
                <w:rFonts w:ascii="Arial" w:eastAsia="Arial Unicode MS" w:hAnsi="Arial" w:cs="Arial"/>
                <w:color w:val="000000"/>
                <w:sz w:val="20"/>
                <w:szCs w:val="22"/>
              </w:rPr>
              <w:t>210.3</w:t>
            </w:r>
          </w:p>
        </w:tc>
        <w:tc>
          <w:tcPr>
            <w:tcW w:w="6221" w:type="dxa"/>
            <w:shd w:val="clear" w:color="auto" w:fill="auto"/>
          </w:tcPr>
          <w:p w:rsidR="00DC78E9" w:rsidRPr="00272C09" w:rsidRDefault="00E56C9A" w:rsidP="00105290">
            <w:pPr>
              <w:tabs>
                <w:tab w:val="left" w:pos="1455"/>
                <w:tab w:val="left" w:pos="5040"/>
                <w:tab w:val="left" w:pos="6885"/>
              </w:tabs>
              <w:spacing w:after="120"/>
              <w:jc w:val="both"/>
              <w:rPr>
                <w:rFonts w:ascii="Arial" w:eastAsia="Arial Unicode MS" w:hAnsi="Arial" w:cs="Arial"/>
                <w:sz w:val="20"/>
                <w:szCs w:val="18"/>
              </w:rPr>
            </w:pPr>
            <w:r w:rsidRPr="00272C09">
              <w:rPr>
                <w:rFonts w:ascii="Arial" w:eastAsia="Arial Unicode MS" w:hAnsi="Arial" w:cs="Arial"/>
                <w:color w:val="000000"/>
                <w:sz w:val="20"/>
                <w:szCs w:val="22"/>
              </w:rPr>
              <w:t>Cash and cash equivalents</w:t>
            </w:r>
          </w:p>
        </w:tc>
        <w:tc>
          <w:tcPr>
            <w:tcW w:w="1701" w:type="dxa"/>
            <w:shd w:val="clear" w:color="auto" w:fill="auto"/>
          </w:tcPr>
          <w:p w:rsidR="00DC78E9" w:rsidRPr="00272C09"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56.3</w:t>
            </w:r>
          </w:p>
        </w:tc>
      </w:tr>
      <w:tr w:rsidR="00B368D6" w:rsidTr="00105290">
        <w:trPr>
          <w:trHeight w:val="431"/>
        </w:trPr>
        <w:tc>
          <w:tcPr>
            <w:tcW w:w="1717" w:type="dxa"/>
            <w:shd w:val="clear" w:color="auto" w:fill="E7E6E6" w:themeFill="background2"/>
          </w:tcPr>
          <w:p w:rsidR="00DC78E9" w:rsidRPr="00272C09"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b/>
                <w:color w:val="000000"/>
                <w:sz w:val="20"/>
                <w:szCs w:val="22"/>
              </w:rPr>
              <w:t>210.3</w:t>
            </w:r>
          </w:p>
        </w:tc>
        <w:tc>
          <w:tcPr>
            <w:tcW w:w="6221" w:type="dxa"/>
            <w:shd w:val="clear" w:color="auto" w:fill="E7E6E6" w:themeFill="background2"/>
          </w:tcPr>
          <w:p w:rsidR="00DC78E9" w:rsidRPr="00272C09" w:rsidRDefault="00E56C9A" w:rsidP="00105290">
            <w:pPr>
              <w:tabs>
                <w:tab w:val="left" w:pos="1455"/>
                <w:tab w:val="left" w:pos="5040"/>
                <w:tab w:val="left" w:pos="6885"/>
              </w:tabs>
              <w:spacing w:after="120"/>
              <w:jc w:val="both"/>
              <w:rPr>
                <w:rFonts w:ascii="Arial" w:eastAsia="Arial Unicode MS" w:hAnsi="Arial" w:cs="Arial"/>
                <w:sz w:val="20"/>
                <w:szCs w:val="18"/>
              </w:rPr>
            </w:pPr>
            <w:r w:rsidRPr="00272C09">
              <w:rPr>
                <w:rFonts w:ascii="Arial" w:eastAsia="Arial Unicode MS" w:hAnsi="Arial" w:cs="Arial"/>
                <w:b/>
                <w:color w:val="000000"/>
                <w:sz w:val="20"/>
                <w:szCs w:val="22"/>
              </w:rPr>
              <w:t>Total</w:t>
            </w:r>
          </w:p>
        </w:tc>
        <w:tc>
          <w:tcPr>
            <w:tcW w:w="1701" w:type="dxa"/>
            <w:shd w:val="clear" w:color="auto" w:fill="E7E6E6" w:themeFill="background2"/>
          </w:tcPr>
          <w:p w:rsidR="00DC78E9" w:rsidRPr="002A5E15" w:rsidRDefault="00E56C9A" w:rsidP="00105290">
            <w:pPr>
              <w:tabs>
                <w:tab w:val="left" w:pos="2160"/>
                <w:tab w:val="left" w:pos="6885"/>
              </w:tabs>
              <w:spacing w:after="60"/>
              <w:jc w:val="right"/>
              <w:rPr>
                <w:rFonts w:ascii="Arial" w:eastAsia="Arial Unicode MS" w:hAnsi="Arial" w:cs="Arial"/>
                <w:b/>
                <w:sz w:val="20"/>
                <w:szCs w:val="18"/>
              </w:rPr>
            </w:pPr>
            <w:r w:rsidRPr="002A5E15">
              <w:rPr>
                <w:rFonts w:ascii="Arial" w:eastAsia="Arial Unicode MS" w:hAnsi="Arial" w:cs="Arial"/>
                <w:b/>
                <w:sz w:val="20"/>
                <w:szCs w:val="18"/>
              </w:rPr>
              <w:t>56.3</w:t>
            </w:r>
          </w:p>
        </w:tc>
      </w:tr>
    </w:tbl>
    <w:p w:rsidR="00DC78E9" w:rsidRPr="00272C09"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272C09" w:rsidRDefault="00E56C9A" w:rsidP="00DC78E9">
      <w:pPr>
        <w:autoSpaceDE w:val="0"/>
        <w:autoSpaceDN w:val="0"/>
        <w:adjustRightInd w:val="0"/>
        <w:ind w:left="720" w:hanging="720"/>
        <w:jc w:val="both"/>
        <w:rPr>
          <w:rFonts w:ascii="Arial" w:eastAsia="Arial Unicode MS" w:hAnsi="Arial" w:cs="Arial"/>
          <w:b/>
          <w:color w:val="000000"/>
          <w:sz w:val="32"/>
          <w:szCs w:val="22"/>
        </w:rPr>
      </w:pPr>
      <w:r w:rsidRPr="00272C09">
        <w:rPr>
          <w:rFonts w:ascii="Arial" w:eastAsia="Arial Unicode MS" w:hAnsi="Arial" w:cs="Arial"/>
          <w:b/>
          <w:color w:val="000000"/>
          <w:sz w:val="32"/>
          <w:szCs w:val="22"/>
        </w:rPr>
        <w:t>1</w:t>
      </w:r>
      <w:r>
        <w:rPr>
          <w:rFonts w:ascii="Arial" w:eastAsia="Arial Unicode MS" w:hAnsi="Arial" w:cs="Arial"/>
          <w:b/>
          <w:color w:val="000000"/>
          <w:sz w:val="32"/>
          <w:szCs w:val="22"/>
        </w:rPr>
        <w:t>8</w:t>
      </w:r>
      <w:r w:rsidRPr="00272C09">
        <w:rPr>
          <w:rFonts w:ascii="Arial" w:eastAsia="Arial Unicode MS" w:hAnsi="Arial" w:cs="Arial"/>
          <w:b/>
          <w:color w:val="000000"/>
          <w:sz w:val="32"/>
          <w:szCs w:val="22"/>
        </w:rPr>
        <w:t xml:space="preserve">.4.1 Interest rate risk - sensitivity analysis </w:t>
      </w:r>
    </w:p>
    <w:p w:rsidR="00DC78E9" w:rsidRPr="00272C09" w:rsidRDefault="00E56C9A" w:rsidP="00DC78E9">
      <w:pPr>
        <w:autoSpaceDE w:val="0"/>
        <w:autoSpaceDN w:val="0"/>
        <w:adjustRightInd w:val="0"/>
        <w:ind w:left="720"/>
        <w:jc w:val="both"/>
        <w:rPr>
          <w:rFonts w:ascii="Arial" w:eastAsia="Arial Unicode MS" w:hAnsi="Arial" w:cs="Arial"/>
          <w:b/>
          <w:color w:val="000000"/>
          <w:sz w:val="22"/>
          <w:szCs w:val="22"/>
        </w:rPr>
      </w:pPr>
    </w:p>
    <w:p w:rsidR="00DC78E9" w:rsidRPr="00272C09" w:rsidRDefault="00E56C9A" w:rsidP="00DC78E9">
      <w:pPr>
        <w:autoSpaceDE w:val="0"/>
        <w:autoSpaceDN w:val="0"/>
        <w:adjustRightInd w:val="0"/>
        <w:jc w:val="both"/>
        <w:rPr>
          <w:rFonts w:ascii="Arial" w:eastAsia="Arial Unicode MS" w:hAnsi="Arial" w:cs="Arial"/>
          <w:color w:val="000000"/>
          <w:sz w:val="22"/>
          <w:szCs w:val="22"/>
        </w:rPr>
      </w:pPr>
      <w:r w:rsidRPr="00272C09">
        <w:rPr>
          <w:rFonts w:ascii="Arial" w:eastAsia="Arial Unicode MS" w:hAnsi="Arial" w:cs="Arial"/>
          <w:color w:val="000000"/>
          <w:sz w:val="22"/>
          <w:szCs w:val="22"/>
        </w:rPr>
        <w:t xml:space="preserve">The Fund has recognised that interest rates can vary and can affect both income to the Fund and the value of the net assets available to pay benefits. </w:t>
      </w:r>
      <w:r w:rsidRPr="00272C09">
        <w:rPr>
          <w:rFonts w:ascii="Arial" w:eastAsia="Arial Unicode MS" w:hAnsi="Arial" w:cs="Arial"/>
          <w:color w:val="000000"/>
          <w:sz w:val="22"/>
          <w:szCs w:val="22"/>
        </w:rPr>
        <w:t xml:space="preserve">A </w:t>
      </w:r>
      <w:r>
        <w:rPr>
          <w:rFonts w:ascii="Arial" w:eastAsia="Arial Unicode MS" w:hAnsi="Arial" w:cs="Arial"/>
          <w:color w:val="000000"/>
          <w:sz w:val="22"/>
          <w:szCs w:val="22"/>
        </w:rPr>
        <w:t>100</w:t>
      </w:r>
      <w:r w:rsidRPr="00272C09">
        <w:rPr>
          <w:rFonts w:ascii="Arial" w:eastAsia="Arial Unicode MS" w:hAnsi="Arial" w:cs="Arial"/>
          <w:color w:val="000000"/>
          <w:sz w:val="22"/>
          <w:szCs w:val="22"/>
        </w:rPr>
        <w:t xml:space="preserve"> basis</w:t>
      </w:r>
      <w:r w:rsidRPr="00272C09">
        <w:rPr>
          <w:rFonts w:ascii="Arial" w:eastAsia="Arial Unicode MS" w:hAnsi="Arial" w:cs="Arial"/>
          <w:color w:val="000000"/>
          <w:sz w:val="22"/>
          <w:szCs w:val="22"/>
        </w:rPr>
        <w:t xml:space="preserve"> point (BPS) movement in interest rates is consistent with the level of sensitivity applied as part of the Fund's risk management strategy (1BPS = 0.01%).  The Fund's investment advisor has advised that long–term average rates are expected to move less tha</w:t>
      </w:r>
      <w:r w:rsidRPr="00272C09">
        <w:rPr>
          <w:rFonts w:ascii="Arial" w:eastAsia="Arial Unicode MS" w:hAnsi="Arial" w:cs="Arial"/>
          <w:color w:val="000000"/>
          <w:sz w:val="22"/>
          <w:szCs w:val="22"/>
        </w:rPr>
        <w:t xml:space="preserve">n </w:t>
      </w:r>
      <w:r>
        <w:rPr>
          <w:rFonts w:ascii="Arial" w:eastAsia="Arial Unicode MS" w:hAnsi="Arial" w:cs="Arial"/>
          <w:color w:val="000000"/>
          <w:sz w:val="22"/>
          <w:szCs w:val="22"/>
        </w:rPr>
        <w:t>100</w:t>
      </w:r>
      <w:r w:rsidRPr="00272C09">
        <w:rPr>
          <w:rFonts w:ascii="Arial" w:eastAsia="Arial Unicode MS" w:hAnsi="Arial" w:cs="Arial"/>
          <w:color w:val="000000"/>
          <w:sz w:val="22"/>
          <w:szCs w:val="22"/>
        </w:rPr>
        <w:t xml:space="preserve"> basis point</w:t>
      </w:r>
      <w:r>
        <w:rPr>
          <w:rFonts w:ascii="Arial" w:eastAsia="Arial Unicode MS" w:hAnsi="Arial" w:cs="Arial"/>
          <w:color w:val="000000"/>
          <w:sz w:val="22"/>
          <w:szCs w:val="22"/>
        </w:rPr>
        <w:t>s</w:t>
      </w:r>
      <w:r w:rsidRPr="00272C09">
        <w:rPr>
          <w:rFonts w:ascii="Arial" w:eastAsia="Arial Unicode MS" w:hAnsi="Arial" w:cs="Arial"/>
          <w:color w:val="000000"/>
          <w:sz w:val="22"/>
          <w:szCs w:val="22"/>
        </w:rPr>
        <w:t xml:space="preserve"> for one year to the next and experience suggests that such movements are likely. </w:t>
      </w:r>
    </w:p>
    <w:p w:rsidR="00DC78E9" w:rsidRPr="00272C09"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272C09" w:rsidRDefault="00E56C9A" w:rsidP="00DC78E9">
      <w:pPr>
        <w:autoSpaceDE w:val="0"/>
        <w:autoSpaceDN w:val="0"/>
        <w:adjustRightInd w:val="0"/>
        <w:jc w:val="both"/>
        <w:rPr>
          <w:rFonts w:ascii="Arial" w:eastAsia="Arial Unicode MS" w:hAnsi="Arial" w:cs="Arial"/>
          <w:color w:val="000000"/>
          <w:sz w:val="22"/>
          <w:szCs w:val="22"/>
        </w:rPr>
      </w:pPr>
      <w:r w:rsidRPr="00272C09">
        <w:rPr>
          <w:rFonts w:ascii="Arial" w:eastAsia="Arial Unicode MS" w:hAnsi="Arial" w:cs="Arial"/>
          <w:color w:val="000000"/>
          <w:sz w:val="22"/>
          <w:szCs w:val="22"/>
        </w:rPr>
        <w:t>The analysis that follows assumes that all other variables, in particular exchange rates, remain constant, and shows the effect in the year on the net ass</w:t>
      </w:r>
      <w:r w:rsidRPr="00272C09">
        <w:rPr>
          <w:rFonts w:ascii="Arial" w:eastAsia="Arial Unicode MS" w:hAnsi="Arial" w:cs="Arial"/>
          <w:color w:val="000000"/>
          <w:sz w:val="22"/>
          <w:szCs w:val="22"/>
        </w:rPr>
        <w:t xml:space="preserve">ets available to pay benefits of a +/- 100 BPS change in interest rates: </w:t>
      </w:r>
    </w:p>
    <w:p w:rsidR="00DC78E9" w:rsidRDefault="00E56C9A" w:rsidP="00DC78E9">
      <w:pPr>
        <w:autoSpaceDE w:val="0"/>
        <w:autoSpaceDN w:val="0"/>
        <w:adjustRightInd w:val="0"/>
        <w:ind w:left="720"/>
        <w:jc w:val="both"/>
        <w:rPr>
          <w:rFonts w:ascii="Arial" w:eastAsia="Arial Unicode MS" w:hAnsi="Arial" w:cs="Arial"/>
          <w:color w:val="000000"/>
          <w:sz w:val="22"/>
          <w:szCs w:val="22"/>
        </w:rPr>
      </w:pPr>
    </w:p>
    <w:p w:rsidR="00E56C9A" w:rsidRDefault="00E56C9A" w:rsidP="00DC78E9">
      <w:pPr>
        <w:autoSpaceDE w:val="0"/>
        <w:autoSpaceDN w:val="0"/>
        <w:adjustRightInd w:val="0"/>
        <w:ind w:left="720"/>
        <w:jc w:val="both"/>
        <w:rPr>
          <w:rFonts w:ascii="Arial" w:eastAsia="Arial Unicode MS" w:hAnsi="Arial" w:cs="Arial"/>
          <w:color w:val="000000"/>
          <w:sz w:val="22"/>
          <w:szCs w:val="22"/>
        </w:rPr>
      </w:pPr>
    </w:p>
    <w:p w:rsidR="00E56C9A" w:rsidRDefault="00E56C9A" w:rsidP="00DC78E9">
      <w:pPr>
        <w:autoSpaceDE w:val="0"/>
        <w:autoSpaceDN w:val="0"/>
        <w:adjustRightInd w:val="0"/>
        <w:ind w:left="720"/>
        <w:jc w:val="both"/>
        <w:rPr>
          <w:rFonts w:ascii="Arial" w:eastAsia="Arial Unicode MS" w:hAnsi="Arial" w:cs="Arial"/>
          <w:color w:val="000000"/>
          <w:sz w:val="22"/>
          <w:szCs w:val="22"/>
        </w:rPr>
      </w:pPr>
    </w:p>
    <w:p w:rsidR="00E56C9A" w:rsidRDefault="00E56C9A" w:rsidP="00DC78E9">
      <w:pPr>
        <w:autoSpaceDE w:val="0"/>
        <w:autoSpaceDN w:val="0"/>
        <w:adjustRightInd w:val="0"/>
        <w:ind w:left="720"/>
        <w:jc w:val="both"/>
        <w:rPr>
          <w:rFonts w:ascii="Arial" w:eastAsia="Arial Unicode MS" w:hAnsi="Arial" w:cs="Arial"/>
          <w:color w:val="000000"/>
          <w:sz w:val="22"/>
          <w:szCs w:val="22"/>
        </w:rPr>
      </w:pPr>
    </w:p>
    <w:p w:rsidR="00E56C9A" w:rsidRDefault="00E56C9A" w:rsidP="00DC78E9">
      <w:pPr>
        <w:autoSpaceDE w:val="0"/>
        <w:autoSpaceDN w:val="0"/>
        <w:adjustRightInd w:val="0"/>
        <w:ind w:left="720"/>
        <w:jc w:val="both"/>
        <w:rPr>
          <w:rFonts w:ascii="Arial" w:eastAsia="Arial Unicode MS" w:hAnsi="Arial" w:cs="Arial"/>
          <w:color w:val="000000"/>
          <w:sz w:val="22"/>
          <w:szCs w:val="22"/>
        </w:rPr>
      </w:pPr>
    </w:p>
    <w:p w:rsidR="00E56C9A" w:rsidRPr="00272C09" w:rsidRDefault="00E56C9A" w:rsidP="00DC78E9">
      <w:pPr>
        <w:autoSpaceDE w:val="0"/>
        <w:autoSpaceDN w:val="0"/>
        <w:adjustRightInd w:val="0"/>
        <w:ind w:left="720"/>
        <w:jc w:val="both"/>
        <w:rPr>
          <w:rFonts w:ascii="Arial" w:eastAsia="Arial Unicode MS" w:hAnsi="Arial" w:cs="Arial"/>
          <w:color w:val="000000"/>
          <w:sz w:val="22"/>
          <w:szCs w:val="22"/>
        </w:rPr>
      </w:pPr>
      <w:bookmarkStart w:id="4" w:name="_GoBack"/>
      <w:bookmarkEnd w:id="4"/>
    </w:p>
    <w:tbl>
      <w:tblPr>
        <w:tblStyle w:val="TableGrid2"/>
        <w:tblW w:w="0" w:type="auto"/>
        <w:tblInd w:w="-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3827"/>
        <w:gridCol w:w="2120"/>
        <w:gridCol w:w="1964"/>
        <w:gridCol w:w="1680"/>
      </w:tblGrid>
      <w:tr w:rsidR="00B368D6" w:rsidTr="002A5E15">
        <w:trPr>
          <w:trHeight w:val="431"/>
        </w:trPr>
        <w:tc>
          <w:tcPr>
            <w:tcW w:w="3827"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Asset type</w:t>
            </w:r>
          </w:p>
        </w:tc>
        <w:tc>
          <w:tcPr>
            <w:tcW w:w="2120"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3644" w:type="dxa"/>
            <w:gridSpan w:val="2"/>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Change in year in net assets available to pay benefits</w:t>
            </w:r>
          </w:p>
        </w:tc>
      </w:tr>
      <w:tr w:rsidR="00B368D6" w:rsidTr="002A5E15">
        <w:trPr>
          <w:trHeight w:val="431"/>
        </w:trPr>
        <w:tc>
          <w:tcPr>
            <w:tcW w:w="3827"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p>
        </w:tc>
        <w:tc>
          <w:tcPr>
            <w:tcW w:w="2120"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31 March 2017</w:t>
            </w:r>
          </w:p>
        </w:tc>
        <w:tc>
          <w:tcPr>
            <w:tcW w:w="1964"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+100BPS</w:t>
            </w:r>
          </w:p>
        </w:tc>
        <w:tc>
          <w:tcPr>
            <w:tcW w:w="1680"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-100BPS</w:t>
            </w:r>
          </w:p>
        </w:tc>
      </w:tr>
      <w:tr w:rsidR="00B368D6" w:rsidTr="002A5E15">
        <w:trPr>
          <w:trHeight w:val="431"/>
        </w:trPr>
        <w:tc>
          <w:tcPr>
            <w:tcW w:w="3827" w:type="dxa"/>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color w:val="000000"/>
                <w:sz w:val="20"/>
                <w:szCs w:val="20"/>
              </w:rPr>
            </w:pPr>
          </w:p>
        </w:tc>
        <w:tc>
          <w:tcPr>
            <w:tcW w:w="2120" w:type="dxa"/>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964" w:type="dxa"/>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680" w:type="dxa"/>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r>
      <w:tr w:rsidR="00B368D6" w:rsidTr="002A5E15">
        <w:trPr>
          <w:trHeight w:val="431"/>
        </w:trPr>
        <w:tc>
          <w:tcPr>
            <w:tcW w:w="3827"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Cash and cash equivalents</w:t>
            </w:r>
          </w:p>
        </w:tc>
        <w:tc>
          <w:tcPr>
            <w:tcW w:w="212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Pr>
                <w:rFonts w:ascii="Arial" w:eastAsia="Arial Unicode MS" w:hAnsi="Arial" w:cs="Arial"/>
                <w:color w:val="000000"/>
                <w:sz w:val="20"/>
                <w:szCs w:val="20"/>
              </w:rPr>
              <w:t>56.3</w:t>
            </w:r>
          </w:p>
        </w:tc>
        <w:tc>
          <w:tcPr>
            <w:tcW w:w="1964"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Pr>
                <w:rFonts w:ascii="Arial" w:eastAsia="Arial Unicode MS" w:hAnsi="Arial" w:cs="Arial"/>
                <w:color w:val="000000"/>
                <w:sz w:val="20"/>
                <w:szCs w:val="20"/>
              </w:rPr>
              <w:t>0.6</w:t>
            </w:r>
          </w:p>
        </w:tc>
        <w:tc>
          <w:tcPr>
            <w:tcW w:w="168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Pr>
                <w:rFonts w:ascii="Arial" w:eastAsia="Arial Unicode MS" w:hAnsi="Arial" w:cs="Arial"/>
                <w:color w:val="000000"/>
                <w:sz w:val="20"/>
                <w:szCs w:val="20"/>
              </w:rPr>
              <w:t>(0.6)</w:t>
            </w:r>
          </w:p>
        </w:tc>
      </w:tr>
      <w:tr w:rsidR="00B368D6" w:rsidTr="002A5E15">
        <w:trPr>
          <w:trHeight w:val="431"/>
        </w:trPr>
        <w:tc>
          <w:tcPr>
            <w:tcW w:w="3827"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lastRenderedPageBreak/>
              <w:t xml:space="preserve">Total change in assets </w:t>
            </w:r>
            <w:r w:rsidRPr="00076CE1">
              <w:rPr>
                <w:rFonts w:ascii="Arial" w:eastAsia="Arial Unicode MS" w:hAnsi="Arial" w:cs="Arial"/>
                <w:b/>
                <w:color w:val="000000"/>
                <w:sz w:val="20"/>
                <w:szCs w:val="20"/>
              </w:rPr>
              <w:t>available</w:t>
            </w:r>
          </w:p>
        </w:tc>
        <w:tc>
          <w:tcPr>
            <w:tcW w:w="2120"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Pr>
                <w:rFonts w:ascii="Arial" w:eastAsia="Arial Unicode MS" w:hAnsi="Arial" w:cs="Arial"/>
                <w:b/>
                <w:color w:val="000000"/>
                <w:sz w:val="20"/>
                <w:szCs w:val="20"/>
              </w:rPr>
              <w:t>56.3</w:t>
            </w:r>
          </w:p>
        </w:tc>
        <w:tc>
          <w:tcPr>
            <w:tcW w:w="1964"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Pr>
                <w:rFonts w:ascii="Arial" w:eastAsia="Arial Unicode MS" w:hAnsi="Arial" w:cs="Arial"/>
                <w:b/>
                <w:color w:val="000000"/>
                <w:sz w:val="20"/>
                <w:szCs w:val="20"/>
              </w:rPr>
              <w:t>0.6</w:t>
            </w:r>
          </w:p>
        </w:tc>
        <w:tc>
          <w:tcPr>
            <w:tcW w:w="1680"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Pr>
                <w:rFonts w:ascii="Arial" w:eastAsia="Arial Unicode MS" w:hAnsi="Arial" w:cs="Arial"/>
                <w:b/>
                <w:color w:val="000000"/>
                <w:sz w:val="20"/>
                <w:szCs w:val="20"/>
              </w:rPr>
              <w:t>(0.6)</w:t>
            </w:r>
          </w:p>
        </w:tc>
      </w:tr>
    </w:tbl>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tbl>
      <w:tblPr>
        <w:tblStyle w:val="TableGrid2"/>
        <w:tblW w:w="0" w:type="auto"/>
        <w:tblInd w:w="-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3827"/>
        <w:gridCol w:w="2120"/>
        <w:gridCol w:w="1964"/>
        <w:gridCol w:w="1680"/>
      </w:tblGrid>
      <w:tr w:rsidR="00B368D6" w:rsidTr="002A5E15">
        <w:trPr>
          <w:trHeight w:val="431"/>
        </w:trPr>
        <w:tc>
          <w:tcPr>
            <w:tcW w:w="3827"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Asset type</w:t>
            </w:r>
          </w:p>
        </w:tc>
        <w:tc>
          <w:tcPr>
            <w:tcW w:w="2120"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p>
        </w:tc>
        <w:tc>
          <w:tcPr>
            <w:tcW w:w="3644" w:type="dxa"/>
            <w:gridSpan w:val="2"/>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Change in year in net assets available to pay benefits</w:t>
            </w:r>
          </w:p>
        </w:tc>
      </w:tr>
      <w:tr w:rsidR="00B368D6" w:rsidTr="002A5E15">
        <w:trPr>
          <w:trHeight w:val="431"/>
        </w:trPr>
        <w:tc>
          <w:tcPr>
            <w:tcW w:w="3827"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p>
        </w:tc>
        <w:tc>
          <w:tcPr>
            <w:tcW w:w="2120"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31 March 2016</w:t>
            </w:r>
          </w:p>
        </w:tc>
        <w:tc>
          <w:tcPr>
            <w:tcW w:w="1964"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+100BPS</w:t>
            </w:r>
          </w:p>
        </w:tc>
        <w:tc>
          <w:tcPr>
            <w:tcW w:w="1680"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0"/>
              </w:rPr>
            </w:pPr>
            <w:r w:rsidRPr="00076CE1">
              <w:rPr>
                <w:rFonts w:ascii="Arial" w:eastAsia="Arial Unicode MS" w:hAnsi="Arial" w:cs="Arial"/>
                <w:b/>
                <w:color w:val="000000"/>
                <w:sz w:val="20"/>
                <w:szCs w:val="20"/>
              </w:rPr>
              <w:t>-100BPS</w:t>
            </w:r>
          </w:p>
        </w:tc>
      </w:tr>
      <w:tr w:rsidR="00B368D6" w:rsidTr="002A5E15">
        <w:trPr>
          <w:trHeight w:val="431"/>
        </w:trPr>
        <w:tc>
          <w:tcPr>
            <w:tcW w:w="3827" w:type="dxa"/>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color w:val="000000"/>
                <w:sz w:val="20"/>
                <w:szCs w:val="20"/>
              </w:rPr>
            </w:pPr>
          </w:p>
        </w:tc>
        <w:tc>
          <w:tcPr>
            <w:tcW w:w="2120" w:type="dxa"/>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964" w:type="dxa"/>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c>
          <w:tcPr>
            <w:tcW w:w="1680" w:type="dxa"/>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0"/>
              </w:rPr>
            </w:pPr>
            <w:r w:rsidRPr="00076CE1">
              <w:rPr>
                <w:rFonts w:ascii="Arial" w:eastAsia="Arial Unicode MS" w:hAnsi="Arial" w:cs="Arial"/>
                <w:b/>
                <w:color w:val="000000"/>
                <w:sz w:val="20"/>
                <w:szCs w:val="20"/>
              </w:rPr>
              <w:t>£m</w:t>
            </w:r>
          </w:p>
        </w:tc>
      </w:tr>
      <w:tr w:rsidR="00B368D6" w:rsidTr="002A5E15">
        <w:trPr>
          <w:trHeight w:val="431"/>
        </w:trPr>
        <w:tc>
          <w:tcPr>
            <w:tcW w:w="3827"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0"/>
              </w:rPr>
            </w:pPr>
            <w:r w:rsidRPr="00076CE1">
              <w:rPr>
                <w:rFonts w:ascii="Arial" w:eastAsia="Arial Unicode MS" w:hAnsi="Arial" w:cs="Arial"/>
                <w:color w:val="000000"/>
                <w:sz w:val="20"/>
                <w:szCs w:val="20"/>
              </w:rPr>
              <w:t>Cash and cash equivalents</w:t>
            </w:r>
          </w:p>
        </w:tc>
        <w:tc>
          <w:tcPr>
            <w:tcW w:w="212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210.3</w:t>
            </w:r>
          </w:p>
        </w:tc>
        <w:tc>
          <w:tcPr>
            <w:tcW w:w="1964"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2.1</w:t>
            </w:r>
          </w:p>
        </w:tc>
        <w:tc>
          <w:tcPr>
            <w:tcW w:w="1680"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0"/>
              </w:rPr>
            </w:pPr>
            <w:r w:rsidRPr="00076CE1">
              <w:rPr>
                <w:rFonts w:ascii="Arial" w:eastAsia="Arial Unicode MS" w:hAnsi="Arial" w:cs="Arial"/>
                <w:color w:val="000000"/>
                <w:sz w:val="20"/>
                <w:szCs w:val="20"/>
              </w:rPr>
              <w:t>(2.1)</w:t>
            </w:r>
          </w:p>
        </w:tc>
      </w:tr>
      <w:tr w:rsidR="00B368D6" w:rsidTr="002A5E15">
        <w:trPr>
          <w:trHeight w:val="431"/>
        </w:trPr>
        <w:tc>
          <w:tcPr>
            <w:tcW w:w="3827"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0"/>
              </w:rPr>
            </w:pPr>
            <w:r w:rsidRPr="00076CE1">
              <w:rPr>
                <w:rFonts w:ascii="Arial" w:eastAsia="Arial Unicode MS" w:hAnsi="Arial" w:cs="Arial"/>
                <w:b/>
                <w:color w:val="000000"/>
                <w:sz w:val="20"/>
                <w:szCs w:val="20"/>
              </w:rPr>
              <w:t>Total change in assets available</w:t>
            </w:r>
          </w:p>
        </w:tc>
        <w:tc>
          <w:tcPr>
            <w:tcW w:w="2120"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Pr>
                <w:rFonts w:ascii="Arial" w:eastAsia="Arial Unicode MS" w:hAnsi="Arial" w:cs="Arial"/>
                <w:b/>
                <w:color w:val="000000"/>
                <w:sz w:val="20"/>
                <w:szCs w:val="20"/>
              </w:rPr>
              <w:t>210.3</w:t>
            </w:r>
          </w:p>
        </w:tc>
        <w:tc>
          <w:tcPr>
            <w:tcW w:w="1964"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Pr>
                <w:rFonts w:ascii="Arial" w:eastAsia="Arial Unicode MS" w:hAnsi="Arial" w:cs="Arial"/>
                <w:b/>
                <w:color w:val="000000"/>
                <w:sz w:val="20"/>
                <w:szCs w:val="20"/>
              </w:rPr>
              <w:t>2.1</w:t>
            </w:r>
          </w:p>
        </w:tc>
        <w:tc>
          <w:tcPr>
            <w:tcW w:w="1680"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0"/>
              </w:rPr>
            </w:pPr>
            <w:r>
              <w:rPr>
                <w:rFonts w:ascii="Arial" w:eastAsia="Arial Unicode MS" w:hAnsi="Arial" w:cs="Arial"/>
                <w:b/>
                <w:color w:val="000000"/>
                <w:sz w:val="20"/>
                <w:szCs w:val="20"/>
              </w:rPr>
              <w:t>(2.1)</w:t>
            </w:r>
          </w:p>
        </w:tc>
      </w:tr>
    </w:tbl>
    <w:p w:rsidR="00DC78E9" w:rsidRPr="00076CE1" w:rsidRDefault="00E56C9A" w:rsidP="00DC78E9">
      <w:pPr>
        <w:autoSpaceDE w:val="0"/>
        <w:autoSpaceDN w:val="0"/>
        <w:adjustRightInd w:val="0"/>
        <w:ind w:left="720"/>
        <w:jc w:val="both"/>
        <w:rPr>
          <w:rFonts w:ascii="Arial" w:eastAsia="Arial Unicode MS" w:hAnsi="Arial" w:cs="Arial"/>
          <w:b/>
          <w:color w:val="000000"/>
          <w:sz w:val="22"/>
          <w:szCs w:val="22"/>
        </w:rPr>
      </w:pPr>
    </w:p>
    <w:p w:rsidR="00DC78E9" w:rsidRPr="00076CE1" w:rsidRDefault="00E56C9A" w:rsidP="00DC78E9">
      <w:pPr>
        <w:autoSpaceDE w:val="0"/>
        <w:autoSpaceDN w:val="0"/>
        <w:adjustRightInd w:val="0"/>
        <w:ind w:left="720" w:hanging="72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8</w:t>
      </w:r>
      <w:r w:rsidRPr="00076CE1">
        <w:rPr>
          <w:rFonts w:ascii="Arial" w:eastAsia="Arial Unicode MS" w:hAnsi="Arial" w:cs="Arial"/>
          <w:b/>
          <w:color w:val="000000"/>
          <w:sz w:val="32"/>
          <w:szCs w:val="22"/>
        </w:rPr>
        <w:t>.5 Currency risk</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Currency risk represents the risk that the fair value cash flow of a financial instrument will fluctuate because of changes in foreign exchange rates. The Fund is exposed to currency risk on financial instruments that are denominated in any currency other </w:t>
      </w:r>
      <w:r w:rsidRPr="00076CE1">
        <w:rPr>
          <w:rFonts w:ascii="Arial" w:eastAsia="Arial Unicode MS" w:hAnsi="Arial" w:cs="Arial"/>
          <w:color w:val="000000"/>
          <w:sz w:val="22"/>
          <w:szCs w:val="22"/>
        </w:rPr>
        <w:t xml:space="preserve">than the functional currency of the Fund (£).  The Fund holds both monetary and non-monetary assets denominated in currencies other than £. </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Fund's currency rate risk is routinely monitored by the Fund and its investment advisors in accordance with th</w:t>
      </w:r>
      <w:r w:rsidRPr="00076CE1">
        <w:rPr>
          <w:rFonts w:ascii="Arial" w:eastAsia="Arial Unicode MS" w:hAnsi="Arial" w:cs="Arial"/>
          <w:color w:val="000000"/>
          <w:sz w:val="22"/>
          <w:szCs w:val="22"/>
        </w:rPr>
        <w:t xml:space="preserve">e Fund's risk management strategy. </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The following table summarises the Fund's currency exposure as at 31 March 2017 and as at the previous year end:    </w:t>
      </w: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05290">
            <w:pPr>
              <w:tabs>
                <w:tab w:val="left" w:pos="717"/>
                <w:tab w:val="left" w:pos="2160"/>
                <w:tab w:val="left" w:pos="6885"/>
              </w:tabs>
              <w:spacing w:after="60"/>
              <w:jc w:val="center"/>
              <w:rPr>
                <w:rFonts w:ascii="Arial" w:eastAsia="Arial Unicode MS" w:hAnsi="Arial" w:cs="Arial"/>
                <w:b/>
                <w:sz w:val="20"/>
                <w:szCs w:val="18"/>
              </w:rPr>
            </w:pPr>
            <w:r w:rsidRPr="00076CE1">
              <w:rPr>
                <w:rFonts w:ascii="Arial" w:eastAsia="Arial Unicode MS" w:hAnsi="Arial" w:cs="Arial"/>
                <w:b/>
                <w:sz w:val="20"/>
                <w:szCs w:val="18"/>
              </w:rPr>
              <w:t>31 March 2016</w:t>
            </w:r>
          </w:p>
        </w:tc>
        <w:tc>
          <w:tcPr>
            <w:tcW w:w="6221" w:type="dxa"/>
            <w:tcBorders>
              <w:bottom w:val="nil"/>
            </w:tcBorders>
            <w:shd w:val="clear" w:color="auto" w:fill="E7E6E6" w:themeFill="background2"/>
          </w:tcPr>
          <w:p w:rsidR="00DC78E9" w:rsidRPr="00076CE1" w:rsidRDefault="00E56C9A" w:rsidP="00105290">
            <w:pPr>
              <w:rPr>
                <w:rFonts w:ascii="Arial" w:eastAsia="Arial Unicode MS" w:hAnsi="Arial" w:cs="Arial"/>
                <w:b/>
                <w:sz w:val="20"/>
                <w:szCs w:val="18"/>
              </w:rPr>
            </w:pPr>
            <w:r w:rsidRPr="00076CE1">
              <w:rPr>
                <w:rFonts w:ascii="Arial" w:eastAsia="Arial Unicode MS" w:hAnsi="Arial" w:cs="Arial"/>
                <w:b/>
                <w:color w:val="000000"/>
                <w:sz w:val="20"/>
                <w:szCs w:val="22"/>
              </w:rPr>
              <w:t>Currency exposure – asset type</w:t>
            </w:r>
          </w:p>
        </w:tc>
        <w:tc>
          <w:tcPr>
            <w:tcW w:w="1701" w:type="dxa"/>
            <w:shd w:val="clear" w:color="auto" w:fill="E7E6E6" w:themeFill="background2"/>
          </w:tcPr>
          <w:p w:rsidR="00DC78E9" w:rsidRPr="00076CE1" w:rsidRDefault="00E56C9A" w:rsidP="00105290">
            <w:pPr>
              <w:tabs>
                <w:tab w:val="left" w:pos="719"/>
                <w:tab w:val="left" w:pos="2160"/>
                <w:tab w:val="left" w:pos="6885"/>
              </w:tabs>
              <w:spacing w:after="60"/>
              <w:jc w:val="center"/>
              <w:rPr>
                <w:rFonts w:ascii="Arial" w:eastAsia="Arial Unicode MS" w:hAnsi="Arial" w:cs="Arial"/>
                <w:b/>
                <w:sz w:val="20"/>
                <w:szCs w:val="18"/>
              </w:rPr>
            </w:pPr>
            <w:r w:rsidRPr="00076CE1">
              <w:rPr>
                <w:rFonts w:ascii="Arial" w:eastAsia="Arial Unicode MS" w:hAnsi="Arial" w:cs="Arial"/>
                <w:b/>
                <w:sz w:val="20"/>
                <w:szCs w:val="18"/>
              </w:rPr>
              <w:t>31 March 2017</w:t>
            </w:r>
          </w:p>
        </w:tc>
      </w:tr>
      <w:tr w:rsidR="00B368D6" w:rsidTr="00105290">
        <w:trPr>
          <w:trHeight w:val="266"/>
        </w:trPr>
        <w:tc>
          <w:tcPr>
            <w:tcW w:w="1717" w:type="dxa"/>
            <w:shd w:val="clear" w:color="auto" w:fill="E7E6E6" w:themeFill="background2"/>
          </w:tcPr>
          <w:p w:rsidR="00DC78E9" w:rsidRPr="00076CE1" w:rsidRDefault="00E56C9A" w:rsidP="004D7695">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4D7695">
            <w:pPr>
              <w:jc w:val="right"/>
              <w:rPr>
                <w:rFonts w:ascii="Arial" w:eastAsia="Arial Unicode MS" w:hAnsi="Arial" w:cs="Arial"/>
                <w:b/>
                <w:color w:val="000000"/>
                <w:sz w:val="20"/>
                <w:szCs w:val="22"/>
              </w:rPr>
            </w:pPr>
          </w:p>
        </w:tc>
        <w:tc>
          <w:tcPr>
            <w:tcW w:w="1701" w:type="dxa"/>
            <w:shd w:val="clear" w:color="auto" w:fill="E7E6E6" w:themeFill="background2"/>
          </w:tcPr>
          <w:p w:rsidR="00DC78E9" w:rsidRPr="00076CE1" w:rsidRDefault="00E56C9A" w:rsidP="004D7695">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283189">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2"/>
              </w:rPr>
              <w:t>850.9</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2"/>
              </w:rPr>
              <w:t xml:space="preserve">Overseas bonds (including </w:t>
            </w:r>
            <w:r w:rsidRPr="00076CE1">
              <w:rPr>
                <w:rFonts w:ascii="Arial" w:eastAsia="Arial Unicode MS" w:hAnsi="Arial" w:cs="Arial"/>
                <w:color w:val="000000"/>
                <w:sz w:val="20"/>
                <w:szCs w:val="22"/>
              </w:rPr>
              <w:t>index linked)</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1,071.4</w:t>
            </w:r>
          </w:p>
        </w:tc>
      </w:tr>
      <w:tr w:rsidR="00B368D6" w:rsidTr="00283189">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2"/>
              </w:rPr>
              <w:t>2,622.9</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2"/>
              </w:rPr>
              <w:t>Overseas equities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3,569.6</w:t>
            </w:r>
          </w:p>
        </w:tc>
      </w:tr>
      <w:tr w:rsidR="00B368D6" w:rsidTr="00283189">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2"/>
              </w:rPr>
              <w:t>868.0</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2"/>
              </w:rPr>
              <w:t xml:space="preserve">Overseas alternatives </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1,101.9</w:t>
            </w:r>
          </w:p>
        </w:tc>
      </w:tr>
      <w:tr w:rsidR="00B368D6" w:rsidTr="00283189">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2"/>
              </w:rPr>
              <w:t>36.1</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2"/>
              </w:rPr>
              <w:t>Overseas property</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41.0</w:t>
            </w:r>
          </w:p>
        </w:tc>
      </w:tr>
      <w:tr w:rsidR="00B368D6" w:rsidTr="00105290">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2"/>
              </w:rPr>
              <w:t>4,377.9</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b/>
                <w:color w:val="000000"/>
                <w:sz w:val="20"/>
                <w:szCs w:val="22"/>
              </w:rPr>
              <w:t>Total overseas assets</w:t>
            </w:r>
          </w:p>
        </w:tc>
        <w:tc>
          <w:tcPr>
            <w:tcW w:w="1701" w:type="dxa"/>
            <w:shd w:val="clear" w:color="auto" w:fill="E7E6E6" w:themeFill="background2"/>
          </w:tcPr>
          <w:p w:rsidR="00DC78E9" w:rsidRPr="00076CE1" w:rsidRDefault="00E56C9A" w:rsidP="00283189">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5,783.9</w:t>
            </w:r>
          </w:p>
        </w:tc>
      </w:tr>
    </w:tbl>
    <w:p w:rsidR="00DC78E9" w:rsidRPr="00076CE1" w:rsidRDefault="00E56C9A" w:rsidP="00DC78E9">
      <w:pPr>
        <w:autoSpaceDE w:val="0"/>
        <w:autoSpaceDN w:val="0"/>
        <w:adjustRightInd w:val="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ind w:left="720" w:hanging="72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8</w:t>
      </w:r>
      <w:r w:rsidRPr="00076CE1">
        <w:rPr>
          <w:rFonts w:ascii="Arial" w:eastAsia="Arial Unicode MS" w:hAnsi="Arial" w:cs="Arial"/>
          <w:b/>
          <w:color w:val="000000"/>
          <w:sz w:val="32"/>
          <w:szCs w:val="22"/>
        </w:rPr>
        <w:t xml:space="preserve">.5.1 Currency risk – sensitivity analysis </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Following analysis of historical data in consultation with the Fund's investment advisors, the Fund considers the likely volatility associated with foreign exchange rate movement to </w:t>
      </w:r>
      <w:r w:rsidRPr="00C24477">
        <w:rPr>
          <w:rFonts w:ascii="Arial" w:eastAsia="Arial Unicode MS" w:hAnsi="Arial" w:cs="Arial"/>
          <w:color w:val="000000"/>
          <w:sz w:val="22"/>
          <w:szCs w:val="22"/>
        </w:rPr>
        <w:t xml:space="preserve">be </w:t>
      </w:r>
      <w:r w:rsidRPr="00C24477">
        <w:rPr>
          <w:rFonts w:ascii="Arial" w:eastAsia="Arial Unicode MS" w:hAnsi="Arial" w:cs="Arial"/>
          <w:color w:val="000000"/>
          <w:sz w:val="22"/>
          <w:szCs w:val="22"/>
        </w:rPr>
        <w:t>[</w:t>
      </w:r>
      <w:r w:rsidRPr="00C24477">
        <w:rPr>
          <w:rFonts w:ascii="Arial" w:eastAsia="Arial Unicode MS" w:hAnsi="Arial" w:cs="Arial"/>
          <w:color w:val="000000"/>
          <w:sz w:val="22"/>
          <w:szCs w:val="22"/>
        </w:rPr>
        <w:t>6.1%</w:t>
      </w:r>
      <w:r w:rsidRPr="00C24477">
        <w:rPr>
          <w:rFonts w:ascii="Arial" w:eastAsia="Arial Unicode MS" w:hAnsi="Arial" w:cs="Arial"/>
          <w:color w:val="000000"/>
          <w:sz w:val="22"/>
          <w:szCs w:val="22"/>
        </w:rPr>
        <w:t>]</w:t>
      </w:r>
      <w:r w:rsidRPr="00C24477">
        <w:rPr>
          <w:rFonts w:ascii="Arial" w:eastAsia="Arial Unicode MS" w:hAnsi="Arial" w:cs="Arial"/>
          <w:color w:val="000000"/>
          <w:sz w:val="22"/>
          <w:szCs w:val="22"/>
        </w:rPr>
        <w:t>.</w:t>
      </w: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A 6.1</w:t>
      </w:r>
      <w:r w:rsidRPr="00076CE1">
        <w:rPr>
          <w:rFonts w:ascii="Arial" w:eastAsia="Arial Unicode MS" w:hAnsi="Arial" w:cs="Arial"/>
          <w:color w:val="000000"/>
          <w:sz w:val="22"/>
          <w:szCs w:val="22"/>
        </w:rPr>
        <w:t>%</w:t>
      </w:r>
      <w:r w:rsidRPr="00076CE1">
        <w:rPr>
          <w:rFonts w:ascii="Arial" w:eastAsia="Arial Unicode MS" w:hAnsi="Arial" w:cs="Arial"/>
          <w:color w:val="000000"/>
          <w:sz w:val="22"/>
          <w:szCs w:val="22"/>
        </w:rPr>
        <w:t xml:space="preserve"> fluctuation in the currency is considered reasonable ba</w:t>
      </w:r>
      <w:r w:rsidRPr="00076CE1">
        <w:rPr>
          <w:rFonts w:ascii="Arial" w:eastAsia="Arial Unicode MS" w:hAnsi="Arial" w:cs="Arial"/>
          <w:color w:val="000000"/>
          <w:sz w:val="22"/>
          <w:szCs w:val="22"/>
        </w:rPr>
        <w:t xml:space="preserve">sed on the Fund advisor's analysis of long-term historical movements in the month-end exchange rates over a rolling 36-month period.  This analysis assumes that all other variables, in particular interest rates, remain constant </w:t>
      </w:r>
      <w:r w:rsidRPr="00076CE1">
        <w:rPr>
          <w:rFonts w:ascii="Arial" w:eastAsia="Arial Unicode MS" w:hAnsi="Arial" w:cs="Arial"/>
          <w:color w:val="000000"/>
          <w:sz w:val="22"/>
          <w:szCs w:val="22"/>
        </w:rPr>
        <w:t>(</w:t>
      </w:r>
      <w:r w:rsidRPr="00076CE1">
        <w:rPr>
          <w:rFonts w:ascii="Arial" w:eastAsia="Arial Unicode MS" w:hAnsi="Arial" w:cs="Arial"/>
          <w:color w:val="000000"/>
          <w:sz w:val="22"/>
          <w:szCs w:val="22"/>
        </w:rPr>
        <w:t>2015/16 6.1</w:t>
      </w:r>
      <w:r w:rsidRPr="00076CE1">
        <w:rPr>
          <w:rFonts w:ascii="Arial" w:eastAsia="Arial Unicode MS" w:hAnsi="Arial" w:cs="Arial"/>
          <w:color w:val="000000"/>
          <w:sz w:val="22"/>
          <w:szCs w:val="22"/>
        </w:rPr>
        <w:t>%).</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A 6.1% </w:t>
      </w:r>
      <w:r w:rsidRPr="00076CE1">
        <w:rPr>
          <w:rFonts w:ascii="Arial" w:eastAsia="Arial Unicode MS" w:hAnsi="Arial" w:cs="Arial"/>
          <w:color w:val="000000"/>
          <w:sz w:val="22"/>
          <w:szCs w:val="22"/>
        </w:rPr>
        <w:t>strengthening/weakening of the pound against the various currencies in which the Fund holds investments would increase/decrease the net assets available to pay benefits as follows:</w:t>
      </w: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tbl>
      <w:tblPr>
        <w:tblStyle w:val="TableGrid2"/>
        <w:tblW w:w="0" w:type="auto"/>
        <w:tblInd w:w="-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4252"/>
        <w:gridCol w:w="1722"/>
        <w:gridCol w:w="1808"/>
        <w:gridCol w:w="1809"/>
      </w:tblGrid>
      <w:tr w:rsidR="00B368D6" w:rsidTr="00283189">
        <w:trPr>
          <w:trHeight w:val="431"/>
        </w:trPr>
        <w:tc>
          <w:tcPr>
            <w:tcW w:w="4252" w:type="dxa"/>
            <w:tcBorders>
              <w:bottom w:val="nil"/>
            </w:tcBorders>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2"/>
              </w:rPr>
            </w:pPr>
            <w:r w:rsidRPr="00076CE1">
              <w:rPr>
                <w:rFonts w:ascii="Arial" w:eastAsia="Arial Unicode MS" w:hAnsi="Arial" w:cs="Arial"/>
                <w:b/>
                <w:color w:val="000000"/>
                <w:sz w:val="20"/>
                <w:szCs w:val="22"/>
              </w:rPr>
              <w:t>Currency exposure - asset type</w:t>
            </w:r>
          </w:p>
        </w:tc>
        <w:tc>
          <w:tcPr>
            <w:tcW w:w="1722"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p>
        </w:tc>
        <w:tc>
          <w:tcPr>
            <w:tcW w:w="3617" w:type="dxa"/>
            <w:gridSpan w:val="2"/>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 xml:space="preserve">Change in year in net assets available to </w:t>
            </w:r>
            <w:r w:rsidRPr="00076CE1">
              <w:rPr>
                <w:rFonts w:ascii="Arial" w:eastAsia="Arial Unicode MS" w:hAnsi="Arial" w:cs="Arial"/>
                <w:b/>
                <w:color w:val="000000"/>
                <w:sz w:val="20"/>
                <w:szCs w:val="22"/>
              </w:rPr>
              <w:t>pay benefits</w:t>
            </w:r>
          </w:p>
        </w:tc>
      </w:tr>
      <w:tr w:rsidR="00B368D6" w:rsidTr="00283189">
        <w:trPr>
          <w:trHeight w:val="431"/>
        </w:trPr>
        <w:tc>
          <w:tcPr>
            <w:tcW w:w="4252" w:type="dxa"/>
            <w:tcBorders>
              <w:top w:val="nil"/>
              <w:bottom w:val="nil"/>
            </w:tcBorders>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p>
        </w:tc>
        <w:tc>
          <w:tcPr>
            <w:tcW w:w="1722"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31 March 2017</w:t>
            </w:r>
          </w:p>
        </w:tc>
        <w:tc>
          <w:tcPr>
            <w:tcW w:w="1808" w:type="dxa"/>
            <w:shd w:val="clear" w:color="auto" w:fill="E7E6E6" w:themeFill="background2"/>
          </w:tcPr>
          <w:p w:rsidR="00DC78E9" w:rsidRPr="00C24477"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C24477">
              <w:rPr>
                <w:rFonts w:ascii="Arial" w:eastAsia="Arial Unicode MS" w:hAnsi="Arial" w:cs="Arial"/>
                <w:b/>
                <w:color w:val="000000"/>
                <w:sz w:val="20"/>
                <w:szCs w:val="22"/>
              </w:rPr>
              <w:t>+</w:t>
            </w:r>
            <w:r w:rsidRPr="00C24477">
              <w:rPr>
                <w:rFonts w:ascii="Arial" w:eastAsia="Arial Unicode MS" w:hAnsi="Arial" w:cs="Arial"/>
                <w:b/>
                <w:color w:val="000000"/>
                <w:sz w:val="20"/>
                <w:szCs w:val="22"/>
                <w:shd w:val="clear" w:color="auto" w:fill="E7E6E6" w:themeFill="background2"/>
              </w:rPr>
              <w:t>6.1%</w:t>
            </w:r>
          </w:p>
        </w:tc>
        <w:tc>
          <w:tcPr>
            <w:tcW w:w="1809" w:type="dxa"/>
            <w:shd w:val="clear" w:color="auto" w:fill="E7E6E6" w:themeFill="background2"/>
          </w:tcPr>
          <w:p w:rsidR="00DC78E9" w:rsidRPr="00C24477"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C24477">
              <w:rPr>
                <w:rFonts w:ascii="Arial" w:eastAsia="Arial Unicode MS" w:hAnsi="Arial" w:cs="Arial"/>
                <w:b/>
                <w:color w:val="000000"/>
                <w:sz w:val="20"/>
                <w:szCs w:val="22"/>
              </w:rPr>
              <w:t>-</w:t>
            </w:r>
            <w:r w:rsidRPr="00C24477">
              <w:rPr>
                <w:rFonts w:ascii="Arial" w:eastAsia="Arial Unicode MS" w:hAnsi="Arial" w:cs="Arial"/>
                <w:b/>
                <w:color w:val="000000"/>
                <w:sz w:val="20"/>
                <w:szCs w:val="22"/>
                <w:shd w:val="clear" w:color="auto" w:fill="E7E6E6" w:themeFill="background2"/>
              </w:rPr>
              <w:t>6.1%</w:t>
            </w:r>
          </w:p>
        </w:tc>
      </w:tr>
      <w:tr w:rsidR="00B368D6" w:rsidTr="00283189">
        <w:trPr>
          <w:trHeight w:val="431"/>
        </w:trPr>
        <w:tc>
          <w:tcPr>
            <w:tcW w:w="4252" w:type="dxa"/>
            <w:tcBorders>
              <w:top w:val="nil"/>
            </w:tcBorders>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color w:val="000000"/>
                <w:sz w:val="20"/>
                <w:szCs w:val="22"/>
              </w:rPr>
            </w:pPr>
          </w:p>
        </w:tc>
        <w:tc>
          <w:tcPr>
            <w:tcW w:w="1722" w:type="dxa"/>
            <w:shd w:val="clear" w:color="auto" w:fill="E7E6E6" w:themeFill="background2"/>
          </w:tcPr>
          <w:p w:rsidR="00DC78E9" w:rsidRPr="00076CE1"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£m</w:t>
            </w:r>
          </w:p>
        </w:tc>
        <w:tc>
          <w:tcPr>
            <w:tcW w:w="1808" w:type="dxa"/>
            <w:shd w:val="clear" w:color="auto" w:fill="E7E6E6" w:themeFill="background2"/>
          </w:tcPr>
          <w:p w:rsidR="00DC78E9" w:rsidRPr="00C24477"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C24477">
              <w:rPr>
                <w:rFonts w:ascii="Arial" w:eastAsia="Arial Unicode MS" w:hAnsi="Arial" w:cs="Arial"/>
                <w:b/>
                <w:color w:val="000000"/>
                <w:sz w:val="20"/>
                <w:szCs w:val="22"/>
              </w:rPr>
              <w:t>£m</w:t>
            </w:r>
          </w:p>
        </w:tc>
        <w:tc>
          <w:tcPr>
            <w:tcW w:w="1809" w:type="dxa"/>
            <w:shd w:val="clear" w:color="auto" w:fill="E7E6E6" w:themeFill="background2"/>
          </w:tcPr>
          <w:p w:rsidR="00DC78E9" w:rsidRPr="00C24477"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C24477">
              <w:rPr>
                <w:rFonts w:ascii="Arial" w:eastAsia="Arial Unicode MS" w:hAnsi="Arial" w:cs="Arial"/>
                <w:b/>
                <w:color w:val="000000"/>
                <w:sz w:val="20"/>
                <w:szCs w:val="22"/>
              </w:rPr>
              <w:t>£m</w:t>
            </w:r>
          </w:p>
        </w:tc>
      </w:tr>
      <w:tr w:rsidR="00B368D6" w:rsidTr="00283189">
        <w:trPr>
          <w:trHeight w:val="431"/>
        </w:trPr>
        <w:tc>
          <w:tcPr>
            <w:tcW w:w="4252" w:type="dxa"/>
          </w:tcPr>
          <w:p w:rsidR="00283189" w:rsidRPr="00076CE1" w:rsidRDefault="00E56C9A" w:rsidP="00283189">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Overseas bonds (including index linked)</w:t>
            </w:r>
          </w:p>
        </w:tc>
        <w:tc>
          <w:tcPr>
            <w:tcW w:w="1722" w:type="dxa"/>
            <w:shd w:val="clear" w:color="auto" w:fill="auto"/>
          </w:tcPr>
          <w:p w:rsidR="00283189" w:rsidRPr="00076CE1" w:rsidRDefault="00E56C9A" w:rsidP="00283189">
            <w:pPr>
              <w:tabs>
                <w:tab w:val="left" w:pos="1080"/>
              </w:tabs>
              <w:autoSpaceDE w:val="0"/>
              <w:autoSpaceDN w:val="0"/>
              <w:adjustRightInd w:val="0"/>
              <w:jc w:val="right"/>
              <w:rPr>
                <w:rFonts w:ascii="Arial" w:eastAsia="Arial Unicode MS" w:hAnsi="Arial" w:cs="Arial"/>
                <w:color w:val="000000"/>
                <w:sz w:val="20"/>
                <w:szCs w:val="22"/>
              </w:rPr>
            </w:pPr>
            <w:r>
              <w:rPr>
                <w:rFonts w:ascii="Arial" w:eastAsia="Arial Unicode MS" w:hAnsi="Arial" w:cs="Arial"/>
                <w:sz w:val="20"/>
                <w:szCs w:val="18"/>
              </w:rPr>
              <w:t>1,071.4</w:t>
            </w:r>
          </w:p>
        </w:tc>
        <w:tc>
          <w:tcPr>
            <w:tcW w:w="1808" w:type="dxa"/>
            <w:shd w:val="clear" w:color="auto" w:fill="auto"/>
          </w:tcPr>
          <w:p w:rsidR="00283189" w:rsidRPr="00C24477" w:rsidRDefault="00E56C9A" w:rsidP="00283189">
            <w:pPr>
              <w:tabs>
                <w:tab w:val="left" w:pos="1080"/>
              </w:tabs>
              <w:autoSpaceDE w:val="0"/>
              <w:autoSpaceDN w:val="0"/>
              <w:adjustRightInd w:val="0"/>
              <w:jc w:val="right"/>
              <w:rPr>
                <w:rFonts w:ascii="Arial" w:eastAsia="Arial Unicode MS" w:hAnsi="Arial" w:cs="Arial"/>
                <w:color w:val="000000"/>
                <w:sz w:val="20"/>
                <w:szCs w:val="22"/>
              </w:rPr>
            </w:pPr>
            <w:r w:rsidRPr="00C24477">
              <w:rPr>
                <w:rFonts w:ascii="Calibri" w:hAnsi="Calibri"/>
                <w:color w:val="000000"/>
                <w:sz w:val="22"/>
                <w:szCs w:val="22"/>
              </w:rPr>
              <w:t>3,787.3</w:t>
            </w:r>
          </w:p>
        </w:tc>
        <w:tc>
          <w:tcPr>
            <w:tcW w:w="1809" w:type="dxa"/>
            <w:shd w:val="clear" w:color="auto" w:fill="auto"/>
          </w:tcPr>
          <w:p w:rsidR="00283189" w:rsidRPr="00C24477" w:rsidRDefault="00E56C9A" w:rsidP="00283189">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3,351.8</w:t>
            </w:r>
          </w:p>
        </w:tc>
      </w:tr>
      <w:tr w:rsidR="00B368D6" w:rsidTr="00283189">
        <w:trPr>
          <w:trHeight w:val="431"/>
        </w:trPr>
        <w:tc>
          <w:tcPr>
            <w:tcW w:w="4252" w:type="dxa"/>
          </w:tcPr>
          <w:p w:rsidR="00283189" w:rsidRPr="00272C09" w:rsidRDefault="00E56C9A" w:rsidP="00283189">
            <w:pPr>
              <w:tabs>
                <w:tab w:val="left" w:pos="1080"/>
              </w:tabs>
              <w:autoSpaceDE w:val="0"/>
              <w:autoSpaceDN w:val="0"/>
              <w:adjustRightInd w:val="0"/>
              <w:jc w:val="both"/>
              <w:rPr>
                <w:rFonts w:ascii="Arial" w:eastAsia="Arial Unicode MS" w:hAnsi="Arial" w:cs="Arial"/>
                <w:color w:val="000000"/>
                <w:sz w:val="20"/>
                <w:szCs w:val="22"/>
              </w:rPr>
            </w:pPr>
            <w:r w:rsidRPr="00272C09">
              <w:rPr>
                <w:rFonts w:ascii="Arial" w:eastAsia="Arial Unicode MS" w:hAnsi="Arial" w:cs="Arial"/>
                <w:color w:val="000000"/>
                <w:sz w:val="20"/>
                <w:szCs w:val="22"/>
              </w:rPr>
              <w:t>Overseas equities</w:t>
            </w:r>
          </w:p>
        </w:tc>
        <w:tc>
          <w:tcPr>
            <w:tcW w:w="1722" w:type="dxa"/>
            <w:shd w:val="clear" w:color="auto" w:fill="auto"/>
          </w:tcPr>
          <w:p w:rsidR="00283189" w:rsidRPr="00272C09" w:rsidRDefault="00E56C9A" w:rsidP="00283189">
            <w:pPr>
              <w:tabs>
                <w:tab w:val="left" w:pos="1080"/>
              </w:tabs>
              <w:autoSpaceDE w:val="0"/>
              <w:autoSpaceDN w:val="0"/>
              <w:adjustRightInd w:val="0"/>
              <w:jc w:val="right"/>
              <w:rPr>
                <w:rFonts w:ascii="Arial" w:eastAsia="Arial Unicode MS" w:hAnsi="Arial" w:cs="Arial"/>
                <w:color w:val="000000"/>
                <w:sz w:val="20"/>
                <w:szCs w:val="22"/>
              </w:rPr>
            </w:pPr>
            <w:r>
              <w:rPr>
                <w:rFonts w:ascii="Arial" w:eastAsia="Arial Unicode MS" w:hAnsi="Arial" w:cs="Arial"/>
                <w:sz w:val="20"/>
                <w:szCs w:val="18"/>
              </w:rPr>
              <w:t>3,569.6</w:t>
            </w:r>
          </w:p>
        </w:tc>
        <w:tc>
          <w:tcPr>
            <w:tcW w:w="1808" w:type="dxa"/>
            <w:shd w:val="clear" w:color="auto" w:fill="auto"/>
          </w:tcPr>
          <w:p w:rsidR="00283189" w:rsidRPr="00C24477" w:rsidRDefault="00E56C9A" w:rsidP="00283189">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1,136.7</w:t>
            </w:r>
          </w:p>
        </w:tc>
        <w:tc>
          <w:tcPr>
            <w:tcW w:w="1809" w:type="dxa"/>
            <w:shd w:val="clear" w:color="auto" w:fill="auto"/>
          </w:tcPr>
          <w:p w:rsidR="00283189" w:rsidRPr="00C24477" w:rsidRDefault="00E56C9A" w:rsidP="00283189">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1,006.0</w:t>
            </w:r>
          </w:p>
        </w:tc>
      </w:tr>
      <w:tr w:rsidR="00B368D6" w:rsidTr="00283189">
        <w:trPr>
          <w:trHeight w:val="431"/>
        </w:trPr>
        <w:tc>
          <w:tcPr>
            <w:tcW w:w="4252" w:type="dxa"/>
          </w:tcPr>
          <w:p w:rsidR="00283189" w:rsidRPr="00272C09" w:rsidRDefault="00E56C9A" w:rsidP="00283189">
            <w:pPr>
              <w:tabs>
                <w:tab w:val="left" w:pos="1080"/>
              </w:tabs>
              <w:autoSpaceDE w:val="0"/>
              <w:autoSpaceDN w:val="0"/>
              <w:adjustRightInd w:val="0"/>
              <w:jc w:val="both"/>
              <w:rPr>
                <w:rFonts w:ascii="Arial" w:eastAsia="Arial Unicode MS" w:hAnsi="Arial" w:cs="Arial"/>
                <w:color w:val="000000"/>
                <w:sz w:val="20"/>
                <w:szCs w:val="22"/>
              </w:rPr>
            </w:pPr>
            <w:r w:rsidRPr="00272C09">
              <w:rPr>
                <w:rFonts w:ascii="Arial" w:eastAsia="Arial Unicode MS" w:hAnsi="Arial" w:cs="Arial"/>
                <w:color w:val="000000"/>
                <w:sz w:val="20"/>
                <w:szCs w:val="22"/>
              </w:rPr>
              <w:t xml:space="preserve">Overseas alternatives </w:t>
            </w:r>
          </w:p>
        </w:tc>
        <w:tc>
          <w:tcPr>
            <w:tcW w:w="1722" w:type="dxa"/>
            <w:shd w:val="clear" w:color="auto" w:fill="auto"/>
          </w:tcPr>
          <w:p w:rsidR="00283189" w:rsidRPr="00272C09" w:rsidRDefault="00E56C9A" w:rsidP="00283189">
            <w:pPr>
              <w:tabs>
                <w:tab w:val="left" w:pos="1080"/>
              </w:tabs>
              <w:autoSpaceDE w:val="0"/>
              <w:autoSpaceDN w:val="0"/>
              <w:adjustRightInd w:val="0"/>
              <w:jc w:val="right"/>
              <w:rPr>
                <w:rFonts w:ascii="Arial" w:eastAsia="Arial Unicode MS" w:hAnsi="Arial" w:cs="Arial"/>
                <w:color w:val="000000"/>
                <w:sz w:val="20"/>
                <w:szCs w:val="22"/>
              </w:rPr>
            </w:pPr>
            <w:r>
              <w:rPr>
                <w:rFonts w:ascii="Arial" w:eastAsia="Arial Unicode MS" w:hAnsi="Arial" w:cs="Arial"/>
                <w:sz w:val="20"/>
                <w:szCs w:val="18"/>
              </w:rPr>
              <w:t>1,101.9</w:t>
            </w:r>
          </w:p>
        </w:tc>
        <w:tc>
          <w:tcPr>
            <w:tcW w:w="1808" w:type="dxa"/>
            <w:shd w:val="clear" w:color="auto" w:fill="auto"/>
          </w:tcPr>
          <w:p w:rsidR="00283189" w:rsidRPr="00C24477" w:rsidRDefault="00E56C9A" w:rsidP="00283189">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1,169.1</w:t>
            </w:r>
          </w:p>
        </w:tc>
        <w:tc>
          <w:tcPr>
            <w:tcW w:w="1809" w:type="dxa"/>
            <w:shd w:val="clear" w:color="auto" w:fill="auto"/>
          </w:tcPr>
          <w:p w:rsidR="00283189" w:rsidRPr="00C24477" w:rsidRDefault="00E56C9A" w:rsidP="00283189">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1,034.6</w:t>
            </w:r>
          </w:p>
        </w:tc>
      </w:tr>
      <w:tr w:rsidR="00B368D6" w:rsidTr="00283189">
        <w:trPr>
          <w:trHeight w:val="431"/>
        </w:trPr>
        <w:tc>
          <w:tcPr>
            <w:tcW w:w="4252" w:type="dxa"/>
          </w:tcPr>
          <w:p w:rsidR="00283189" w:rsidRPr="00272C09" w:rsidRDefault="00E56C9A" w:rsidP="00283189">
            <w:pPr>
              <w:tabs>
                <w:tab w:val="left" w:pos="1080"/>
              </w:tabs>
              <w:autoSpaceDE w:val="0"/>
              <w:autoSpaceDN w:val="0"/>
              <w:adjustRightInd w:val="0"/>
              <w:jc w:val="both"/>
              <w:rPr>
                <w:rFonts w:ascii="Arial" w:eastAsia="Arial Unicode MS" w:hAnsi="Arial" w:cs="Arial"/>
                <w:color w:val="000000"/>
                <w:sz w:val="20"/>
                <w:szCs w:val="22"/>
              </w:rPr>
            </w:pPr>
            <w:r w:rsidRPr="00272C09">
              <w:rPr>
                <w:rFonts w:ascii="Arial" w:eastAsia="Arial Unicode MS" w:hAnsi="Arial" w:cs="Arial"/>
                <w:color w:val="000000"/>
                <w:sz w:val="20"/>
                <w:szCs w:val="22"/>
              </w:rPr>
              <w:t>Overseas property</w:t>
            </w:r>
          </w:p>
        </w:tc>
        <w:tc>
          <w:tcPr>
            <w:tcW w:w="1722" w:type="dxa"/>
            <w:shd w:val="clear" w:color="auto" w:fill="auto"/>
          </w:tcPr>
          <w:p w:rsidR="00283189" w:rsidRPr="00272C09" w:rsidRDefault="00E56C9A" w:rsidP="00283189">
            <w:pPr>
              <w:tabs>
                <w:tab w:val="left" w:pos="1080"/>
              </w:tabs>
              <w:autoSpaceDE w:val="0"/>
              <w:autoSpaceDN w:val="0"/>
              <w:adjustRightInd w:val="0"/>
              <w:jc w:val="right"/>
              <w:rPr>
                <w:rFonts w:ascii="Arial" w:eastAsia="Arial Unicode MS" w:hAnsi="Arial" w:cs="Arial"/>
                <w:color w:val="000000"/>
                <w:sz w:val="20"/>
                <w:szCs w:val="22"/>
              </w:rPr>
            </w:pPr>
            <w:r>
              <w:rPr>
                <w:rFonts w:ascii="Arial" w:eastAsia="Arial Unicode MS" w:hAnsi="Arial" w:cs="Arial"/>
                <w:sz w:val="20"/>
                <w:szCs w:val="18"/>
              </w:rPr>
              <w:t>41.0</w:t>
            </w:r>
          </w:p>
        </w:tc>
        <w:tc>
          <w:tcPr>
            <w:tcW w:w="1808" w:type="dxa"/>
            <w:shd w:val="clear" w:color="auto" w:fill="auto"/>
          </w:tcPr>
          <w:p w:rsidR="00283189" w:rsidRPr="00C24477" w:rsidRDefault="00E56C9A" w:rsidP="00283189">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43.5</w:t>
            </w:r>
          </w:p>
        </w:tc>
        <w:tc>
          <w:tcPr>
            <w:tcW w:w="1809" w:type="dxa"/>
            <w:shd w:val="clear" w:color="auto" w:fill="auto"/>
          </w:tcPr>
          <w:p w:rsidR="00283189" w:rsidRPr="00C24477" w:rsidRDefault="00E56C9A" w:rsidP="00283189">
            <w:pPr>
              <w:tabs>
                <w:tab w:val="left" w:pos="1080"/>
              </w:tabs>
              <w:autoSpaceDE w:val="0"/>
              <w:autoSpaceDN w:val="0"/>
              <w:adjustRightInd w:val="0"/>
              <w:jc w:val="right"/>
              <w:rPr>
                <w:rFonts w:ascii="Arial" w:eastAsia="Arial Unicode MS" w:hAnsi="Arial" w:cs="Arial"/>
                <w:color w:val="000000"/>
                <w:sz w:val="20"/>
                <w:szCs w:val="22"/>
              </w:rPr>
            </w:pPr>
            <w:r w:rsidRPr="00C24477">
              <w:rPr>
                <w:rFonts w:ascii="Arial" w:eastAsia="Arial Unicode MS" w:hAnsi="Arial" w:cs="Arial"/>
                <w:color w:val="000000"/>
                <w:sz w:val="20"/>
                <w:szCs w:val="22"/>
              </w:rPr>
              <w:t>38.5</w:t>
            </w:r>
          </w:p>
        </w:tc>
      </w:tr>
      <w:tr w:rsidR="00B368D6" w:rsidTr="00283189">
        <w:trPr>
          <w:trHeight w:val="431"/>
        </w:trPr>
        <w:tc>
          <w:tcPr>
            <w:tcW w:w="4252" w:type="dxa"/>
            <w:shd w:val="clear" w:color="auto" w:fill="E7E6E6" w:themeFill="background2"/>
          </w:tcPr>
          <w:p w:rsidR="00283189" w:rsidRPr="00272C09" w:rsidRDefault="00E56C9A" w:rsidP="00283189">
            <w:pPr>
              <w:tabs>
                <w:tab w:val="left" w:pos="1080"/>
              </w:tabs>
              <w:autoSpaceDE w:val="0"/>
              <w:autoSpaceDN w:val="0"/>
              <w:adjustRightInd w:val="0"/>
              <w:jc w:val="both"/>
              <w:rPr>
                <w:rFonts w:ascii="Arial" w:eastAsia="Arial Unicode MS" w:hAnsi="Arial" w:cs="Arial"/>
                <w:b/>
                <w:color w:val="000000"/>
                <w:sz w:val="20"/>
                <w:szCs w:val="22"/>
              </w:rPr>
            </w:pPr>
            <w:r w:rsidRPr="00272C09">
              <w:rPr>
                <w:rFonts w:ascii="Arial" w:eastAsia="Arial Unicode MS" w:hAnsi="Arial" w:cs="Arial"/>
                <w:b/>
                <w:color w:val="000000"/>
                <w:sz w:val="20"/>
                <w:szCs w:val="22"/>
              </w:rPr>
              <w:t xml:space="preserve">Total change </w:t>
            </w:r>
            <w:r w:rsidRPr="00272C09">
              <w:rPr>
                <w:rFonts w:ascii="Arial" w:eastAsia="Arial Unicode MS" w:hAnsi="Arial" w:cs="Arial"/>
                <w:b/>
                <w:color w:val="000000"/>
                <w:sz w:val="20"/>
                <w:szCs w:val="22"/>
              </w:rPr>
              <w:t>in assets available</w:t>
            </w:r>
          </w:p>
        </w:tc>
        <w:tc>
          <w:tcPr>
            <w:tcW w:w="1722" w:type="dxa"/>
            <w:shd w:val="clear" w:color="auto" w:fill="E7E6E6" w:themeFill="background2"/>
          </w:tcPr>
          <w:p w:rsidR="00283189" w:rsidRPr="00272C09" w:rsidRDefault="00E56C9A" w:rsidP="00283189">
            <w:pPr>
              <w:tabs>
                <w:tab w:val="left" w:pos="1080"/>
              </w:tabs>
              <w:autoSpaceDE w:val="0"/>
              <w:autoSpaceDN w:val="0"/>
              <w:adjustRightInd w:val="0"/>
              <w:jc w:val="right"/>
              <w:rPr>
                <w:rFonts w:ascii="Arial" w:eastAsia="Arial Unicode MS" w:hAnsi="Arial" w:cs="Arial"/>
                <w:b/>
                <w:color w:val="000000"/>
                <w:sz w:val="20"/>
                <w:szCs w:val="22"/>
              </w:rPr>
            </w:pPr>
            <w:r>
              <w:rPr>
                <w:rFonts w:ascii="Arial" w:eastAsia="Arial Unicode MS" w:hAnsi="Arial" w:cs="Arial"/>
                <w:sz w:val="20"/>
                <w:szCs w:val="18"/>
              </w:rPr>
              <w:t>5,783.9</w:t>
            </w:r>
          </w:p>
        </w:tc>
        <w:tc>
          <w:tcPr>
            <w:tcW w:w="1808" w:type="dxa"/>
            <w:shd w:val="clear" w:color="auto" w:fill="E7E6E6" w:themeFill="background2"/>
          </w:tcPr>
          <w:p w:rsidR="00283189" w:rsidRPr="00C24477" w:rsidRDefault="00E56C9A" w:rsidP="00283189">
            <w:pPr>
              <w:tabs>
                <w:tab w:val="left" w:pos="1080"/>
              </w:tabs>
              <w:autoSpaceDE w:val="0"/>
              <w:autoSpaceDN w:val="0"/>
              <w:adjustRightInd w:val="0"/>
              <w:jc w:val="right"/>
              <w:rPr>
                <w:rFonts w:ascii="Arial" w:eastAsia="Arial Unicode MS" w:hAnsi="Arial" w:cs="Arial"/>
                <w:b/>
                <w:color w:val="000000"/>
                <w:sz w:val="20"/>
                <w:szCs w:val="22"/>
              </w:rPr>
            </w:pPr>
            <w:r w:rsidRPr="00C24477">
              <w:rPr>
                <w:rFonts w:ascii="Arial" w:eastAsia="Arial Unicode MS" w:hAnsi="Arial" w:cs="Arial"/>
                <w:b/>
                <w:color w:val="000000"/>
                <w:sz w:val="20"/>
                <w:szCs w:val="22"/>
              </w:rPr>
              <w:t>6,136.6</w:t>
            </w:r>
          </w:p>
        </w:tc>
        <w:tc>
          <w:tcPr>
            <w:tcW w:w="1809" w:type="dxa"/>
            <w:shd w:val="clear" w:color="auto" w:fill="E7E6E6" w:themeFill="background2"/>
          </w:tcPr>
          <w:p w:rsidR="00283189" w:rsidRPr="00C24477" w:rsidRDefault="00E56C9A" w:rsidP="00283189">
            <w:pPr>
              <w:tabs>
                <w:tab w:val="left" w:pos="1080"/>
              </w:tabs>
              <w:autoSpaceDE w:val="0"/>
              <w:autoSpaceDN w:val="0"/>
              <w:adjustRightInd w:val="0"/>
              <w:jc w:val="right"/>
              <w:rPr>
                <w:rFonts w:ascii="Arial" w:eastAsia="Arial Unicode MS" w:hAnsi="Arial" w:cs="Arial"/>
                <w:b/>
                <w:color w:val="000000"/>
                <w:sz w:val="20"/>
                <w:szCs w:val="22"/>
              </w:rPr>
            </w:pPr>
            <w:r w:rsidRPr="00C24477">
              <w:rPr>
                <w:rFonts w:ascii="Arial" w:eastAsia="Arial Unicode MS" w:hAnsi="Arial" w:cs="Arial"/>
                <w:b/>
                <w:color w:val="000000"/>
                <w:sz w:val="20"/>
                <w:szCs w:val="22"/>
              </w:rPr>
              <w:t>5,431.0</w:t>
            </w:r>
          </w:p>
        </w:tc>
      </w:tr>
    </w:tbl>
    <w:p w:rsidR="00DC78E9" w:rsidRPr="00272C09" w:rsidRDefault="00E56C9A" w:rsidP="00DC78E9">
      <w:pPr>
        <w:tabs>
          <w:tab w:val="left" w:pos="1080"/>
        </w:tabs>
        <w:autoSpaceDE w:val="0"/>
        <w:autoSpaceDN w:val="0"/>
        <w:adjustRightInd w:val="0"/>
        <w:ind w:left="709"/>
        <w:jc w:val="both"/>
        <w:rPr>
          <w:rFonts w:ascii="Arial" w:eastAsia="Arial Unicode MS" w:hAnsi="Arial" w:cs="Arial"/>
          <w:color w:val="000000"/>
          <w:sz w:val="22"/>
          <w:szCs w:val="22"/>
        </w:rPr>
      </w:pPr>
    </w:p>
    <w:tbl>
      <w:tblPr>
        <w:tblStyle w:val="TableGrid2"/>
        <w:tblW w:w="0" w:type="auto"/>
        <w:tblInd w:w="-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4252"/>
        <w:gridCol w:w="1722"/>
        <w:gridCol w:w="1808"/>
        <w:gridCol w:w="1809"/>
      </w:tblGrid>
      <w:tr w:rsidR="00B368D6" w:rsidTr="00105290">
        <w:trPr>
          <w:trHeight w:val="431"/>
        </w:trPr>
        <w:tc>
          <w:tcPr>
            <w:tcW w:w="4253" w:type="dxa"/>
            <w:tcBorders>
              <w:bottom w:val="nil"/>
            </w:tcBorders>
            <w:shd w:val="clear" w:color="auto" w:fill="E7E6E6" w:themeFill="background2"/>
          </w:tcPr>
          <w:p w:rsidR="00DC78E9" w:rsidRPr="00272C09" w:rsidRDefault="00E56C9A" w:rsidP="00105290">
            <w:pPr>
              <w:tabs>
                <w:tab w:val="left" w:pos="1080"/>
              </w:tabs>
              <w:autoSpaceDE w:val="0"/>
              <w:autoSpaceDN w:val="0"/>
              <w:adjustRightInd w:val="0"/>
              <w:jc w:val="both"/>
              <w:rPr>
                <w:rFonts w:ascii="Arial" w:eastAsia="Arial Unicode MS" w:hAnsi="Arial" w:cs="Arial"/>
                <w:b/>
                <w:color w:val="000000"/>
                <w:sz w:val="20"/>
                <w:szCs w:val="22"/>
              </w:rPr>
            </w:pPr>
            <w:r w:rsidRPr="00272C09">
              <w:rPr>
                <w:rFonts w:ascii="Arial" w:eastAsia="Arial Unicode MS" w:hAnsi="Arial" w:cs="Arial"/>
                <w:b/>
                <w:color w:val="000000"/>
                <w:sz w:val="20"/>
                <w:szCs w:val="22"/>
              </w:rPr>
              <w:t>Currency exposure - asset type</w:t>
            </w:r>
          </w:p>
        </w:tc>
        <w:tc>
          <w:tcPr>
            <w:tcW w:w="1723" w:type="dxa"/>
            <w:shd w:val="clear" w:color="auto" w:fill="E7E6E6" w:themeFill="background2"/>
          </w:tcPr>
          <w:p w:rsidR="00DC78E9" w:rsidRPr="00272C09" w:rsidRDefault="00E56C9A" w:rsidP="00105290">
            <w:pPr>
              <w:tabs>
                <w:tab w:val="left" w:pos="1080"/>
              </w:tabs>
              <w:autoSpaceDE w:val="0"/>
              <w:autoSpaceDN w:val="0"/>
              <w:adjustRightInd w:val="0"/>
              <w:jc w:val="both"/>
              <w:rPr>
                <w:rFonts w:ascii="Arial" w:eastAsia="Arial Unicode MS" w:hAnsi="Arial" w:cs="Arial"/>
                <w:color w:val="000000"/>
                <w:sz w:val="20"/>
                <w:szCs w:val="22"/>
              </w:rPr>
            </w:pPr>
          </w:p>
        </w:tc>
        <w:tc>
          <w:tcPr>
            <w:tcW w:w="3619" w:type="dxa"/>
            <w:gridSpan w:val="2"/>
            <w:shd w:val="clear" w:color="auto" w:fill="E7E6E6" w:themeFill="background2"/>
          </w:tcPr>
          <w:p w:rsidR="00DC78E9" w:rsidRPr="00272C09"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272C09">
              <w:rPr>
                <w:rFonts w:ascii="Arial" w:eastAsia="Arial Unicode MS" w:hAnsi="Arial" w:cs="Arial"/>
                <w:b/>
                <w:color w:val="000000"/>
                <w:sz w:val="20"/>
                <w:szCs w:val="22"/>
              </w:rPr>
              <w:t>Change in year in net assets available to pay benefits</w:t>
            </w:r>
          </w:p>
        </w:tc>
      </w:tr>
      <w:tr w:rsidR="00B368D6" w:rsidTr="00105290">
        <w:trPr>
          <w:trHeight w:val="431"/>
        </w:trPr>
        <w:tc>
          <w:tcPr>
            <w:tcW w:w="4253" w:type="dxa"/>
            <w:tcBorders>
              <w:top w:val="nil"/>
              <w:bottom w:val="nil"/>
            </w:tcBorders>
            <w:shd w:val="clear" w:color="auto" w:fill="E7E6E6" w:themeFill="background2"/>
          </w:tcPr>
          <w:p w:rsidR="00DC78E9" w:rsidRPr="00272C09" w:rsidRDefault="00E56C9A" w:rsidP="00105290">
            <w:pPr>
              <w:tabs>
                <w:tab w:val="left" w:pos="1080"/>
              </w:tabs>
              <w:autoSpaceDE w:val="0"/>
              <w:autoSpaceDN w:val="0"/>
              <w:adjustRightInd w:val="0"/>
              <w:jc w:val="both"/>
              <w:rPr>
                <w:rFonts w:ascii="Arial" w:eastAsia="Arial Unicode MS" w:hAnsi="Arial" w:cs="Arial"/>
                <w:color w:val="000000"/>
                <w:sz w:val="20"/>
                <w:szCs w:val="22"/>
              </w:rPr>
            </w:pPr>
          </w:p>
        </w:tc>
        <w:tc>
          <w:tcPr>
            <w:tcW w:w="1723" w:type="dxa"/>
            <w:shd w:val="clear" w:color="auto" w:fill="E7E6E6" w:themeFill="background2"/>
          </w:tcPr>
          <w:p w:rsidR="00DC78E9" w:rsidRPr="00272C09"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272C09">
              <w:rPr>
                <w:rFonts w:ascii="Arial" w:eastAsia="Arial Unicode MS" w:hAnsi="Arial" w:cs="Arial"/>
                <w:b/>
                <w:color w:val="000000"/>
                <w:sz w:val="20"/>
                <w:szCs w:val="22"/>
              </w:rPr>
              <w:t>31 March 2016</w:t>
            </w:r>
          </w:p>
        </w:tc>
        <w:tc>
          <w:tcPr>
            <w:tcW w:w="1809" w:type="dxa"/>
            <w:shd w:val="clear" w:color="auto" w:fill="E7E6E6" w:themeFill="background2"/>
          </w:tcPr>
          <w:p w:rsidR="00DC78E9" w:rsidRPr="00272C09"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272C09">
              <w:rPr>
                <w:rFonts w:ascii="Arial" w:eastAsia="Arial Unicode MS" w:hAnsi="Arial" w:cs="Arial"/>
                <w:b/>
                <w:color w:val="000000"/>
                <w:sz w:val="20"/>
                <w:szCs w:val="22"/>
              </w:rPr>
              <w:t>+</w:t>
            </w:r>
            <w:r w:rsidRPr="00272C09">
              <w:rPr>
                <w:rFonts w:ascii="Arial" w:eastAsia="Arial Unicode MS" w:hAnsi="Arial" w:cs="Arial"/>
                <w:b/>
                <w:color w:val="000000"/>
                <w:sz w:val="20"/>
                <w:szCs w:val="22"/>
                <w:shd w:val="clear" w:color="auto" w:fill="E7E6E6" w:themeFill="background2"/>
              </w:rPr>
              <w:t>6.1%</w:t>
            </w:r>
          </w:p>
        </w:tc>
        <w:tc>
          <w:tcPr>
            <w:tcW w:w="1810" w:type="dxa"/>
            <w:shd w:val="clear" w:color="auto" w:fill="E7E6E6" w:themeFill="background2"/>
          </w:tcPr>
          <w:p w:rsidR="00DC78E9" w:rsidRPr="00272C09"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272C09">
              <w:rPr>
                <w:rFonts w:ascii="Arial" w:eastAsia="Arial Unicode MS" w:hAnsi="Arial" w:cs="Arial"/>
                <w:b/>
                <w:color w:val="000000"/>
                <w:sz w:val="20"/>
                <w:szCs w:val="22"/>
              </w:rPr>
              <w:t>-</w:t>
            </w:r>
            <w:r w:rsidRPr="00272C09">
              <w:rPr>
                <w:rFonts w:ascii="Arial" w:eastAsia="Arial Unicode MS" w:hAnsi="Arial" w:cs="Arial"/>
                <w:b/>
                <w:color w:val="000000"/>
                <w:sz w:val="20"/>
                <w:szCs w:val="22"/>
                <w:shd w:val="clear" w:color="auto" w:fill="E7E6E6" w:themeFill="background2"/>
              </w:rPr>
              <w:t>6.1%</w:t>
            </w:r>
          </w:p>
        </w:tc>
      </w:tr>
      <w:tr w:rsidR="00B368D6" w:rsidTr="00105290">
        <w:trPr>
          <w:trHeight w:val="431"/>
        </w:trPr>
        <w:tc>
          <w:tcPr>
            <w:tcW w:w="4253" w:type="dxa"/>
            <w:tcBorders>
              <w:top w:val="nil"/>
            </w:tcBorders>
            <w:shd w:val="clear" w:color="auto" w:fill="E7E6E6" w:themeFill="background2"/>
          </w:tcPr>
          <w:p w:rsidR="00DC78E9" w:rsidRPr="00272C09" w:rsidRDefault="00E56C9A" w:rsidP="004D7695">
            <w:pPr>
              <w:tabs>
                <w:tab w:val="left" w:pos="1080"/>
              </w:tabs>
              <w:autoSpaceDE w:val="0"/>
              <w:autoSpaceDN w:val="0"/>
              <w:adjustRightInd w:val="0"/>
              <w:jc w:val="right"/>
              <w:rPr>
                <w:rFonts w:ascii="Arial" w:eastAsia="Arial Unicode MS" w:hAnsi="Arial" w:cs="Arial"/>
                <w:color w:val="000000"/>
                <w:sz w:val="20"/>
                <w:szCs w:val="22"/>
              </w:rPr>
            </w:pPr>
          </w:p>
        </w:tc>
        <w:tc>
          <w:tcPr>
            <w:tcW w:w="1723" w:type="dxa"/>
            <w:shd w:val="clear" w:color="auto" w:fill="E7E6E6" w:themeFill="background2"/>
          </w:tcPr>
          <w:p w:rsidR="00DC78E9" w:rsidRPr="00272C09"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272C09">
              <w:rPr>
                <w:rFonts w:ascii="Arial" w:eastAsia="Arial Unicode MS" w:hAnsi="Arial" w:cs="Arial"/>
                <w:b/>
                <w:color w:val="000000"/>
                <w:sz w:val="20"/>
                <w:szCs w:val="22"/>
              </w:rPr>
              <w:t>£m</w:t>
            </w:r>
          </w:p>
        </w:tc>
        <w:tc>
          <w:tcPr>
            <w:tcW w:w="1809" w:type="dxa"/>
            <w:shd w:val="clear" w:color="auto" w:fill="E7E6E6" w:themeFill="background2"/>
          </w:tcPr>
          <w:p w:rsidR="00DC78E9" w:rsidRPr="00272C09"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272C09">
              <w:rPr>
                <w:rFonts w:ascii="Arial" w:eastAsia="Arial Unicode MS" w:hAnsi="Arial" w:cs="Arial"/>
                <w:b/>
                <w:color w:val="000000"/>
                <w:sz w:val="20"/>
                <w:szCs w:val="22"/>
              </w:rPr>
              <w:t>£m</w:t>
            </w:r>
          </w:p>
        </w:tc>
        <w:tc>
          <w:tcPr>
            <w:tcW w:w="1810" w:type="dxa"/>
            <w:shd w:val="clear" w:color="auto" w:fill="E7E6E6" w:themeFill="background2"/>
          </w:tcPr>
          <w:p w:rsidR="00DC78E9" w:rsidRPr="00272C09"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272C09">
              <w:rPr>
                <w:rFonts w:ascii="Arial" w:eastAsia="Arial Unicode MS" w:hAnsi="Arial" w:cs="Arial"/>
                <w:b/>
                <w:color w:val="000000"/>
                <w:sz w:val="20"/>
                <w:szCs w:val="22"/>
              </w:rPr>
              <w:t>£m</w:t>
            </w:r>
          </w:p>
        </w:tc>
      </w:tr>
      <w:tr w:rsidR="00B368D6" w:rsidTr="00105290">
        <w:trPr>
          <w:trHeight w:val="431"/>
        </w:trPr>
        <w:tc>
          <w:tcPr>
            <w:tcW w:w="4253" w:type="dxa"/>
          </w:tcPr>
          <w:p w:rsidR="00DC78E9" w:rsidRPr="00272C09"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272C09">
              <w:rPr>
                <w:rFonts w:ascii="Arial" w:eastAsia="Arial Unicode MS" w:hAnsi="Arial" w:cs="Arial"/>
                <w:color w:val="000000"/>
                <w:sz w:val="20"/>
                <w:szCs w:val="22"/>
              </w:rPr>
              <w:t>Overseas bonds (including index linked)</w:t>
            </w:r>
          </w:p>
        </w:tc>
        <w:tc>
          <w:tcPr>
            <w:tcW w:w="1723" w:type="dxa"/>
          </w:tcPr>
          <w:p w:rsidR="00DC78E9" w:rsidRPr="00272C09"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272C09">
              <w:rPr>
                <w:rFonts w:ascii="Arial" w:eastAsia="Arial Unicode MS" w:hAnsi="Arial" w:cs="Arial"/>
                <w:color w:val="000000"/>
                <w:sz w:val="20"/>
                <w:szCs w:val="22"/>
              </w:rPr>
              <w:t>850.9</w:t>
            </w:r>
          </w:p>
        </w:tc>
        <w:tc>
          <w:tcPr>
            <w:tcW w:w="1809" w:type="dxa"/>
          </w:tcPr>
          <w:p w:rsidR="00DC78E9" w:rsidRPr="00272C09"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272C09">
              <w:rPr>
                <w:rFonts w:ascii="Arial" w:eastAsia="Arial Unicode MS" w:hAnsi="Arial" w:cs="Arial"/>
                <w:color w:val="000000"/>
                <w:sz w:val="20"/>
                <w:szCs w:val="22"/>
              </w:rPr>
              <w:t>902.8</w:t>
            </w:r>
          </w:p>
        </w:tc>
        <w:tc>
          <w:tcPr>
            <w:tcW w:w="1810" w:type="dxa"/>
          </w:tcPr>
          <w:p w:rsidR="00DC78E9" w:rsidRPr="00272C09"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272C09">
              <w:rPr>
                <w:rFonts w:ascii="Arial" w:eastAsia="Arial Unicode MS" w:hAnsi="Arial" w:cs="Arial"/>
                <w:color w:val="000000"/>
                <w:sz w:val="20"/>
                <w:szCs w:val="22"/>
              </w:rPr>
              <w:t>799.0</w:t>
            </w:r>
          </w:p>
        </w:tc>
      </w:tr>
      <w:tr w:rsidR="00B368D6" w:rsidTr="00105290">
        <w:trPr>
          <w:trHeight w:val="431"/>
        </w:trPr>
        <w:tc>
          <w:tcPr>
            <w:tcW w:w="4253" w:type="dxa"/>
          </w:tcPr>
          <w:p w:rsidR="00DC78E9" w:rsidRPr="00272C09"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272C09">
              <w:rPr>
                <w:rFonts w:ascii="Arial" w:eastAsia="Arial Unicode MS" w:hAnsi="Arial" w:cs="Arial"/>
                <w:color w:val="000000"/>
                <w:sz w:val="20"/>
                <w:szCs w:val="22"/>
              </w:rPr>
              <w:t>Overseas equities</w:t>
            </w:r>
          </w:p>
        </w:tc>
        <w:tc>
          <w:tcPr>
            <w:tcW w:w="1723" w:type="dxa"/>
          </w:tcPr>
          <w:p w:rsidR="00DC78E9" w:rsidRPr="00272C09"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272C09">
              <w:rPr>
                <w:rFonts w:ascii="Arial" w:eastAsia="Arial Unicode MS" w:hAnsi="Arial" w:cs="Arial"/>
                <w:color w:val="000000"/>
                <w:sz w:val="20"/>
                <w:szCs w:val="22"/>
              </w:rPr>
              <w:t>2,622.9</w:t>
            </w:r>
          </w:p>
        </w:tc>
        <w:tc>
          <w:tcPr>
            <w:tcW w:w="1809" w:type="dxa"/>
          </w:tcPr>
          <w:p w:rsidR="00DC78E9" w:rsidRPr="00272C09"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272C09">
              <w:rPr>
                <w:rFonts w:ascii="Arial" w:eastAsia="Arial Unicode MS" w:hAnsi="Arial" w:cs="Arial"/>
                <w:color w:val="000000"/>
                <w:sz w:val="20"/>
                <w:szCs w:val="22"/>
              </w:rPr>
              <w:t>2,782.9</w:t>
            </w:r>
          </w:p>
        </w:tc>
        <w:tc>
          <w:tcPr>
            <w:tcW w:w="1810" w:type="dxa"/>
          </w:tcPr>
          <w:p w:rsidR="00DC78E9" w:rsidRPr="00272C09"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272C09">
              <w:rPr>
                <w:rFonts w:ascii="Arial" w:eastAsia="Arial Unicode MS" w:hAnsi="Arial" w:cs="Arial"/>
                <w:color w:val="000000"/>
                <w:sz w:val="20"/>
                <w:szCs w:val="22"/>
              </w:rPr>
              <w:t>2,462.9</w:t>
            </w:r>
          </w:p>
        </w:tc>
      </w:tr>
      <w:tr w:rsidR="00B368D6" w:rsidTr="00105290">
        <w:trPr>
          <w:trHeight w:val="431"/>
        </w:trPr>
        <w:tc>
          <w:tcPr>
            <w:tcW w:w="4253" w:type="dxa"/>
          </w:tcPr>
          <w:p w:rsidR="00DC78E9" w:rsidRPr="00272C09"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272C09">
              <w:rPr>
                <w:rFonts w:ascii="Arial" w:eastAsia="Arial Unicode MS" w:hAnsi="Arial" w:cs="Arial"/>
                <w:color w:val="000000"/>
                <w:sz w:val="20"/>
                <w:szCs w:val="22"/>
              </w:rPr>
              <w:t xml:space="preserve">Overseas alternatives </w:t>
            </w:r>
          </w:p>
        </w:tc>
        <w:tc>
          <w:tcPr>
            <w:tcW w:w="1723" w:type="dxa"/>
          </w:tcPr>
          <w:p w:rsidR="00DC78E9" w:rsidRPr="00272C09"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272C09">
              <w:rPr>
                <w:rFonts w:ascii="Arial" w:eastAsia="Arial Unicode MS" w:hAnsi="Arial" w:cs="Arial"/>
                <w:color w:val="000000"/>
                <w:sz w:val="20"/>
                <w:szCs w:val="22"/>
              </w:rPr>
              <w:t>868.0</w:t>
            </w:r>
          </w:p>
        </w:tc>
        <w:tc>
          <w:tcPr>
            <w:tcW w:w="1809" w:type="dxa"/>
          </w:tcPr>
          <w:p w:rsidR="00DC78E9" w:rsidRPr="00272C09"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272C09">
              <w:rPr>
                <w:rFonts w:ascii="Arial" w:eastAsia="Arial Unicode MS" w:hAnsi="Arial" w:cs="Arial"/>
                <w:color w:val="000000"/>
                <w:sz w:val="20"/>
                <w:szCs w:val="22"/>
              </w:rPr>
              <w:t>920.9</w:t>
            </w:r>
          </w:p>
        </w:tc>
        <w:tc>
          <w:tcPr>
            <w:tcW w:w="1810" w:type="dxa"/>
          </w:tcPr>
          <w:p w:rsidR="00DC78E9" w:rsidRPr="00272C09"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272C09">
              <w:rPr>
                <w:rFonts w:ascii="Arial" w:eastAsia="Arial Unicode MS" w:hAnsi="Arial" w:cs="Arial"/>
                <w:color w:val="000000"/>
                <w:sz w:val="20"/>
                <w:szCs w:val="22"/>
              </w:rPr>
              <w:t>815.0</w:t>
            </w:r>
          </w:p>
        </w:tc>
      </w:tr>
      <w:tr w:rsidR="00B368D6" w:rsidTr="00105290">
        <w:trPr>
          <w:trHeight w:val="431"/>
        </w:trPr>
        <w:tc>
          <w:tcPr>
            <w:tcW w:w="4253" w:type="dxa"/>
          </w:tcPr>
          <w:p w:rsidR="00DC78E9" w:rsidRPr="00272C09"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272C09">
              <w:rPr>
                <w:rFonts w:ascii="Arial" w:eastAsia="Arial Unicode MS" w:hAnsi="Arial" w:cs="Arial"/>
                <w:color w:val="000000"/>
                <w:sz w:val="20"/>
                <w:szCs w:val="22"/>
              </w:rPr>
              <w:t>Overseas property</w:t>
            </w:r>
          </w:p>
        </w:tc>
        <w:tc>
          <w:tcPr>
            <w:tcW w:w="1723" w:type="dxa"/>
          </w:tcPr>
          <w:p w:rsidR="00DC78E9" w:rsidRPr="00272C09"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272C09">
              <w:rPr>
                <w:rFonts w:ascii="Arial" w:eastAsia="Arial Unicode MS" w:hAnsi="Arial" w:cs="Arial"/>
                <w:color w:val="000000"/>
                <w:sz w:val="20"/>
                <w:szCs w:val="22"/>
              </w:rPr>
              <w:t>36.1</w:t>
            </w:r>
          </w:p>
        </w:tc>
        <w:tc>
          <w:tcPr>
            <w:tcW w:w="1809" w:type="dxa"/>
          </w:tcPr>
          <w:p w:rsidR="00DC78E9" w:rsidRPr="00272C09"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272C09">
              <w:rPr>
                <w:rFonts w:ascii="Arial" w:eastAsia="Arial Unicode MS" w:hAnsi="Arial" w:cs="Arial"/>
                <w:color w:val="000000"/>
                <w:sz w:val="20"/>
                <w:szCs w:val="22"/>
              </w:rPr>
              <w:t>38.3</w:t>
            </w:r>
          </w:p>
        </w:tc>
        <w:tc>
          <w:tcPr>
            <w:tcW w:w="1810" w:type="dxa"/>
          </w:tcPr>
          <w:p w:rsidR="00DC78E9" w:rsidRPr="00272C09"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272C09">
              <w:rPr>
                <w:rFonts w:ascii="Arial" w:eastAsia="Arial Unicode MS" w:hAnsi="Arial" w:cs="Arial"/>
                <w:color w:val="000000"/>
                <w:sz w:val="20"/>
                <w:szCs w:val="22"/>
              </w:rPr>
              <w:t>33.9</w:t>
            </w:r>
          </w:p>
        </w:tc>
      </w:tr>
      <w:tr w:rsidR="00B368D6" w:rsidTr="00105290">
        <w:trPr>
          <w:trHeight w:val="431"/>
        </w:trPr>
        <w:tc>
          <w:tcPr>
            <w:tcW w:w="4253" w:type="dxa"/>
            <w:shd w:val="clear" w:color="auto" w:fill="E7E6E6" w:themeFill="background2"/>
          </w:tcPr>
          <w:p w:rsidR="00DC78E9" w:rsidRPr="00272C09" w:rsidRDefault="00E56C9A" w:rsidP="00105290">
            <w:pPr>
              <w:tabs>
                <w:tab w:val="left" w:pos="1080"/>
              </w:tabs>
              <w:autoSpaceDE w:val="0"/>
              <w:autoSpaceDN w:val="0"/>
              <w:adjustRightInd w:val="0"/>
              <w:jc w:val="both"/>
              <w:rPr>
                <w:rFonts w:ascii="Arial" w:eastAsia="Arial Unicode MS" w:hAnsi="Arial" w:cs="Arial"/>
                <w:b/>
                <w:color w:val="000000"/>
                <w:sz w:val="20"/>
                <w:szCs w:val="22"/>
              </w:rPr>
            </w:pPr>
            <w:r w:rsidRPr="00272C09">
              <w:rPr>
                <w:rFonts w:ascii="Arial" w:eastAsia="Arial Unicode MS" w:hAnsi="Arial" w:cs="Arial"/>
                <w:b/>
                <w:color w:val="000000"/>
                <w:sz w:val="20"/>
                <w:szCs w:val="22"/>
              </w:rPr>
              <w:t>Total change in assets available</w:t>
            </w:r>
          </w:p>
        </w:tc>
        <w:tc>
          <w:tcPr>
            <w:tcW w:w="1723" w:type="dxa"/>
            <w:shd w:val="clear" w:color="auto" w:fill="E7E6E6" w:themeFill="background2"/>
          </w:tcPr>
          <w:p w:rsidR="00DC78E9" w:rsidRPr="00272C09"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r w:rsidRPr="00272C09">
              <w:rPr>
                <w:rFonts w:ascii="Arial" w:eastAsia="Arial Unicode MS" w:hAnsi="Arial" w:cs="Arial"/>
                <w:b/>
                <w:color w:val="000000"/>
                <w:sz w:val="20"/>
                <w:szCs w:val="22"/>
              </w:rPr>
              <w:t>4,377.9</w:t>
            </w:r>
          </w:p>
        </w:tc>
        <w:tc>
          <w:tcPr>
            <w:tcW w:w="1809" w:type="dxa"/>
            <w:shd w:val="clear" w:color="auto" w:fill="E7E6E6" w:themeFill="background2"/>
          </w:tcPr>
          <w:p w:rsidR="00DC78E9" w:rsidRPr="00272C09"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r w:rsidRPr="00272C09">
              <w:rPr>
                <w:rFonts w:ascii="Arial" w:eastAsia="Arial Unicode MS" w:hAnsi="Arial" w:cs="Arial"/>
                <w:b/>
                <w:color w:val="000000"/>
                <w:sz w:val="20"/>
                <w:szCs w:val="22"/>
              </w:rPr>
              <w:t>4,644.9</w:t>
            </w:r>
          </w:p>
        </w:tc>
        <w:tc>
          <w:tcPr>
            <w:tcW w:w="1810" w:type="dxa"/>
            <w:shd w:val="clear" w:color="auto" w:fill="E7E6E6" w:themeFill="background2"/>
          </w:tcPr>
          <w:p w:rsidR="00DC78E9" w:rsidRPr="00272C09"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r w:rsidRPr="00272C09">
              <w:rPr>
                <w:rFonts w:ascii="Arial" w:eastAsia="Arial Unicode MS" w:hAnsi="Arial" w:cs="Arial"/>
                <w:b/>
                <w:color w:val="000000"/>
                <w:sz w:val="20"/>
                <w:szCs w:val="22"/>
              </w:rPr>
              <w:t>4,110.8</w:t>
            </w:r>
          </w:p>
        </w:tc>
      </w:tr>
    </w:tbl>
    <w:p w:rsidR="00DC78E9" w:rsidRPr="00272C09" w:rsidRDefault="00E56C9A" w:rsidP="00DC78E9">
      <w:pPr>
        <w:tabs>
          <w:tab w:val="left" w:pos="1080"/>
        </w:tabs>
        <w:autoSpaceDE w:val="0"/>
        <w:autoSpaceDN w:val="0"/>
        <w:adjustRightInd w:val="0"/>
        <w:ind w:left="709"/>
        <w:jc w:val="both"/>
        <w:rPr>
          <w:rFonts w:ascii="Arial" w:eastAsia="Arial Unicode MS" w:hAnsi="Arial" w:cs="Arial"/>
          <w:color w:val="000000"/>
          <w:sz w:val="22"/>
          <w:szCs w:val="22"/>
        </w:rPr>
      </w:pPr>
    </w:p>
    <w:p w:rsidR="00DC78E9" w:rsidRPr="00272C09" w:rsidRDefault="00E56C9A" w:rsidP="00DC78E9">
      <w:pPr>
        <w:autoSpaceDE w:val="0"/>
        <w:autoSpaceDN w:val="0"/>
        <w:adjustRightInd w:val="0"/>
        <w:ind w:left="142" w:firstLine="567"/>
        <w:jc w:val="both"/>
        <w:rPr>
          <w:rFonts w:ascii="Arial" w:eastAsia="Arial Unicode MS" w:hAnsi="Arial" w:cs="Arial"/>
          <w:b/>
          <w:color w:val="000000"/>
          <w:sz w:val="22"/>
          <w:szCs w:val="22"/>
        </w:rPr>
      </w:pPr>
    </w:p>
    <w:p w:rsidR="00DC78E9" w:rsidRPr="00272C09" w:rsidRDefault="00E56C9A" w:rsidP="00DC78E9">
      <w:pPr>
        <w:autoSpaceDE w:val="0"/>
        <w:autoSpaceDN w:val="0"/>
        <w:adjustRightInd w:val="0"/>
        <w:jc w:val="both"/>
        <w:rPr>
          <w:rFonts w:ascii="Arial" w:eastAsia="Arial Unicode MS" w:hAnsi="Arial" w:cs="Arial"/>
          <w:color w:val="000000"/>
          <w:sz w:val="32"/>
          <w:szCs w:val="22"/>
        </w:rPr>
      </w:pPr>
      <w:r w:rsidRPr="00272C09">
        <w:rPr>
          <w:rFonts w:ascii="Arial" w:eastAsia="Arial Unicode MS" w:hAnsi="Arial" w:cs="Arial"/>
          <w:b/>
          <w:color w:val="000000"/>
          <w:sz w:val="32"/>
          <w:szCs w:val="22"/>
        </w:rPr>
        <w:t>1</w:t>
      </w:r>
      <w:r>
        <w:rPr>
          <w:rFonts w:ascii="Arial" w:eastAsia="Arial Unicode MS" w:hAnsi="Arial" w:cs="Arial"/>
          <w:b/>
          <w:color w:val="000000"/>
          <w:sz w:val="32"/>
          <w:szCs w:val="22"/>
        </w:rPr>
        <w:t>8</w:t>
      </w:r>
      <w:r w:rsidRPr="00272C09">
        <w:rPr>
          <w:rFonts w:ascii="Arial" w:eastAsia="Arial Unicode MS" w:hAnsi="Arial" w:cs="Arial"/>
          <w:b/>
          <w:color w:val="000000"/>
          <w:sz w:val="32"/>
          <w:szCs w:val="22"/>
        </w:rPr>
        <w:t xml:space="preserve">.6 Credit risk </w:t>
      </w:r>
      <w:r w:rsidRPr="00272C09">
        <w:rPr>
          <w:rFonts w:ascii="Arial" w:eastAsia="Arial Unicode MS" w:hAnsi="Arial" w:cs="Arial"/>
          <w:color w:val="000000"/>
          <w:sz w:val="32"/>
          <w:szCs w:val="22"/>
        </w:rPr>
        <w:t xml:space="preserve">  </w:t>
      </w:r>
    </w:p>
    <w:p w:rsidR="00DC78E9" w:rsidRPr="00272C09" w:rsidRDefault="00E56C9A" w:rsidP="00DC78E9">
      <w:pPr>
        <w:autoSpaceDE w:val="0"/>
        <w:autoSpaceDN w:val="0"/>
        <w:adjustRightInd w:val="0"/>
        <w:ind w:left="142" w:firstLine="567"/>
        <w:jc w:val="both"/>
        <w:rPr>
          <w:rFonts w:ascii="Arial" w:eastAsia="Arial Unicode MS" w:hAnsi="Arial" w:cs="Arial"/>
          <w:color w:val="000000"/>
          <w:sz w:val="22"/>
          <w:szCs w:val="22"/>
        </w:rPr>
      </w:pPr>
      <w:r w:rsidRPr="00272C09">
        <w:rPr>
          <w:rFonts w:ascii="Arial" w:eastAsia="Arial Unicode MS" w:hAnsi="Arial" w:cs="Arial"/>
          <w:color w:val="000000"/>
          <w:sz w:val="22"/>
          <w:szCs w:val="22"/>
        </w:rPr>
        <w:t xml:space="preserve">  </w:t>
      </w:r>
    </w:p>
    <w:p w:rsidR="00DC78E9" w:rsidRPr="00272C09" w:rsidRDefault="00E56C9A" w:rsidP="00DC78E9">
      <w:pPr>
        <w:autoSpaceDE w:val="0"/>
        <w:autoSpaceDN w:val="0"/>
        <w:adjustRightInd w:val="0"/>
        <w:jc w:val="both"/>
        <w:rPr>
          <w:rFonts w:ascii="Arial" w:eastAsia="Arial Unicode MS" w:hAnsi="Arial" w:cs="Arial"/>
          <w:color w:val="000000"/>
          <w:sz w:val="22"/>
          <w:szCs w:val="22"/>
        </w:rPr>
      </w:pPr>
      <w:r w:rsidRPr="00272C09">
        <w:rPr>
          <w:rFonts w:ascii="Arial" w:eastAsia="Arial Unicode MS" w:hAnsi="Arial" w:cs="Arial"/>
          <w:color w:val="000000"/>
          <w:sz w:val="22"/>
          <w:szCs w:val="22"/>
        </w:rPr>
        <w:t>Credit risk represents the risk that the counterparty to a transaction or a financial instrument will fail to discharge an obligation and cause the Fund to incur financial loss.  The market values of investments generally reflect an assessment of credit in</w:t>
      </w:r>
      <w:r w:rsidRPr="00272C09">
        <w:rPr>
          <w:rFonts w:ascii="Arial" w:eastAsia="Arial Unicode MS" w:hAnsi="Arial" w:cs="Arial"/>
          <w:color w:val="000000"/>
          <w:sz w:val="22"/>
          <w:szCs w:val="22"/>
        </w:rPr>
        <w:t xml:space="preserve"> their pricing and consequently the risk of loss is implicitly provided for in the carrying value of the Fund's financial asset and liabilities.   </w:t>
      </w:r>
    </w:p>
    <w:p w:rsidR="00DC78E9" w:rsidRPr="00272C09"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272C09" w:rsidRDefault="00E56C9A" w:rsidP="00DC78E9">
      <w:pPr>
        <w:autoSpaceDE w:val="0"/>
        <w:autoSpaceDN w:val="0"/>
        <w:adjustRightInd w:val="0"/>
        <w:jc w:val="both"/>
        <w:rPr>
          <w:rFonts w:ascii="Arial" w:eastAsia="Arial Unicode MS" w:hAnsi="Arial" w:cs="Arial"/>
          <w:color w:val="000000"/>
          <w:sz w:val="22"/>
          <w:szCs w:val="22"/>
        </w:rPr>
      </w:pPr>
      <w:r w:rsidRPr="00272C09">
        <w:rPr>
          <w:rFonts w:ascii="Arial" w:eastAsia="Arial Unicode MS" w:hAnsi="Arial" w:cs="Arial"/>
          <w:color w:val="000000"/>
          <w:sz w:val="22"/>
          <w:szCs w:val="22"/>
        </w:rPr>
        <w:t>In essence the Fund's entire investment portfolio is exposed to some form of credit risk, with the exceptio</w:t>
      </w:r>
      <w:r w:rsidRPr="00272C09">
        <w:rPr>
          <w:rFonts w:ascii="Arial" w:eastAsia="Arial Unicode MS" w:hAnsi="Arial" w:cs="Arial"/>
          <w:color w:val="000000"/>
          <w:sz w:val="22"/>
          <w:szCs w:val="22"/>
        </w:rPr>
        <w:t>n of the derivatives positions, where the risk equates to the net market value of a positive derivative position.  However, the selection of high quality counterparties, brokers and financial institutions minimise the credit risk that may occur through the</w:t>
      </w:r>
      <w:r w:rsidRPr="00272C09">
        <w:rPr>
          <w:rFonts w:ascii="Arial" w:eastAsia="Arial Unicode MS" w:hAnsi="Arial" w:cs="Arial"/>
          <w:color w:val="000000"/>
          <w:sz w:val="22"/>
          <w:szCs w:val="22"/>
        </w:rPr>
        <w:t xml:space="preserve"> failure to settle a transaction in a timely manner. </w:t>
      </w:r>
    </w:p>
    <w:p w:rsidR="00DC78E9" w:rsidRPr="00272C09"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272C09" w:rsidRDefault="00E56C9A" w:rsidP="00DC78E9">
      <w:pPr>
        <w:autoSpaceDE w:val="0"/>
        <w:autoSpaceDN w:val="0"/>
        <w:adjustRightInd w:val="0"/>
        <w:jc w:val="both"/>
        <w:rPr>
          <w:rFonts w:ascii="Arial" w:eastAsia="Arial Unicode MS" w:hAnsi="Arial" w:cs="Arial"/>
          <w:color w:val="000000"/>
          <w:sz w:val="22"/>
          <w:szCs w:val="22"/>
        </w:rPr>
      </w:pPr>
      <w:r w:rsidRPr="00272C09">
        <w:rPr>
          <w:rFonts w:ascii="Arial" w:eastAsia="Arial Unicode MS" w:hAnsi="Arial" w:cs="Arial"/>
          <w:color w:val="000000"/>
          <w:sz w:val="22"/>
          <w:szCs w:val="22"/>
        </w:rPr>
        <w:t>Contractual credit risk is represented by the net payment or receipts that remain outstanding, and the cost of replacing the derivatives position in the event of a counterparty default.  The residual risk is minimal due to the various insurance policies he</w:t>
      </w:r>
      <w:r w:rsidRPr="00272C09">
        <w:rPr>
          <w:rFonts w:ascii="Arial" w:eastAsia="Arial Unicode MS" w:hAnsi="Arial" w:cs="Arial"/>
          <w:color w:val="000000"/>
          <w:sz w:val="22"/>
          <w:szCs w:val="22"/>
        </w:rPr>
        <w:t xml:space="preserve">ld by the exchanges to cover defaulting counterparties. </w:t>
      </w:r>
    </w:p>
    <w:p w:rsidR="00DC78E9" w:rsidRPr="00272C09"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272C09" w:rsidRDefault="00E56C9A" w:rsidP="00DC78E9">
      <w:pPr>
        <w:autoSpaceDE w:val="0"/>
        <w:autoSpaceDN w:val="0"/>
        <w:adjustRightInd w:val="0"/>
        <w:jc w:val="both"/>
        <w:rPr>
          <w:rFonts w:ascii="Arial" w:eastAsia="Arial Unicode MS" w:hAnsi="Arial" w:cs="Arial"/>
          <w:color w:val="000000"/>
          <w:sz w:val="22"/>
          <w:szCs w:val="22"/>
        </w:rPr>
      </w:pPr>
      <w:r w:rsidRPr="00272C09">
        <w:rPr>
          <w:rFonts w:ascii="Arial" w:eastAsia="Arial Unicode MS" w:hAnsi="Arial" w:cs="Arial"/>
          <w:color w:val="000000"/>
          <w:sz w:val="22"/>
          <w:szCs w:val="22"/>
        </w:rPr>
        <w:t xml:space="preserve">Credit risk on over-the-counter derivatives contracts is minimised as counterparties are recognised financial intermediaries with acceptable credit ratings determined by a recognised rating agency. </w:t>
      </w:r>
    </w:p>
    <w:p w:rsidR="00DC78E9" w:rsidRPr="00272C09"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272C09" w:rsidRDefault="00E56C9A" w:rsidP="00DC78E9">
      <w:pPr>
        <w:autoSpaceDE w:val="0"/>
        <w:autoSpaceDN w:val="0"/>
        <w:adjustRightInd w:val="0"/>
        <w:jc w:val="both"/>
        <w:rPr>
          <w:rFonts w:ascii="Arial" w:eastAsia="Arial Unicode MS" w:hAnsi="Arial" w:cs="Arial"/>
          <w:color w:val="000000"/>
          <w:sz w:val="22"/>
          <w:szCs w:val="22"/>
        </w:rPr>
      </w:pPr>
      <w:r w:rsidRPr="00272C09">
        <w:rPr>
          <w:rFonts w:ascii="Arial" w:eastAsia="Arial Unicode MS" w:hAnsi="Arial" w:cs="Arial"/>
          <w:color w:val="000000"/>
          <w:sz w:val="22"/>
          <w:szCs w:val="22"/>
        </w:rPr>
        <w:t xml:space="preserve">Deposits are not made with banks and financial instructions unless they are rated independent and meet the Fund's credit criteria.  The Fund has also set limits as to the maximum percentage of the deposits placed with any class of financial institution. </w:t>
      </w:r>
      <w:r w:rsidRPr="00272C09">
        <w:rPr>
          <w:rFonts w:ascii="Arial" w:eastAsia="Arial Unicode MS" w:hAnsi="Arial" w:cs="Arial"/>
          <w:color w:val="000000"/>
          <w:sz w:val="22"/>
          <w:szCs w:val="22"/>
        </w:rPr>
        <w:t xml:space="preserve"> </w:t>
      </w:r>
    </w:p>
    <w:p w:rsidR="00DC78E9" w:rsidRPr="00272C09"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272C09" w:rsidRDefault="00E56C9A" w:rsidP="00DC78E9">
      <w:pPr>
        <w:autoSpaceDE w:val="0"/>
        <w:autoSpaceDN w:val="0"/>
        <w:adjustRightInd w:val="0"/>
        <w:jc w:val="both"/>
        <w:rPr>
          <w:rFonts w:ascii="Arial" w:eastAsia="Arial Unicode MS" w:hAnsi="Arial" w:cs="Arial"/>
          <w:color w:val="000000"/>
          <w:sz w:val="22"/>
          <w:szCs w:val="22"/>
        </w:rPr>
      </w:pPr>
      <w:r w:rsidRPr="00272C09">
        <w:rPr>
          <w:rFonts w:ascii="Arial" w:eastAsia="Arial Unicode MS" w:hAnsi="Arial" w:cs="Arial"/>
          <w:color w:val="000000"/>
          <w:sz w:val="22"/>
          <w:szCs w:val="22"/>
        </w:rPr>
        <w:lastRenderedPageBreak/>
        <w:t>The Fund's cash holding under its treasury management arrangements at 31 March 201</w:t>
      </w:r>
      <w:r w:rsidRPr="00272C09">
        <w:rPr>
          <w:rFonts w:ascii="Arial" w:eastAsia="Arial Unicode MS" w:hAnsi="Arial" w:cs="Arial"/>
          <w:color w:val="000000"/>
          <w:sz w:val="22"/>
          <w:szCs w:val="22"/>
        </w:rPr>
        <w:t>7</w:t>
      </w:r>
      <w:r w:rsidRPr="00272C09">
        <w:rPr>
          <w:rFonts w:ascii="Arial" w:eastAsia="Arial Unicode MS" w:hAnsi="Arial" w:cs="Arial"/>
          <w:color w:val="000000"/>
          <w:sz w:val="22"/>
          <w:szCs w:val="22"/>
        </w:rPr>
        <w:t xml:space="preserve"> </w:t>
      </w:r>
      <w:proofErr w:type="gramStart"/>
      <w:r w:rsidRPr="00272C09">
        <w:rPr>
          <w:rFonts w:ascii="Arial" w:eastAsia="Arial Unicode MS" w:hAnsi="Arial" w:cs="Arial"/>
          <w:color w:val="000000"/>
          <w:sz w:val="22"/>
          <w:szCs w:val="22"/>
        </w:rPr>
        <w:t xml:space="preserve">was </w:t>
      </w:r>
      <w:r w:rsidRPr="00272C09">
        <w:rPr>
          <w:rFonts w:ascii="Arial" w:eastAsia="Arial Unicode MS" w:hAnsi="Arial" w:cs="Arial"/>
          <w:color w:val="000000"/>
          <w:sz w:val="22"/>
          <w:szCs w:val="22"/>
        </w:rPr>
        <w:t xml:space="preserve"> </w:t>
      </w:r>
      <w:r w:rsidRPr="00272C09">
        <w:rPr>
          <w:rFonts w:ascii="Arial" w:eastAsia="Arial Unicode MS" w:hAnsi="Arial" w:cs="Arial"/>
          <w:color w:val="000000"/>
          <w:sz w:val="22"/>
          <w:szCs w:val="22"/>
        </w:rPr>
        <w:t>£</w:t>
      </w:r>
      <w:proofErr w:type="gramEnd"/>
      <w:r w:rsidRPr="00272C09">
        <w:rPr>
          <w:rFonts w:ascii="Arial" w:eastAsia="Arial Unicode MS" w:hAnsi="Arial" w:cs="Arial"/>
          <w:color w:val="000000"/>
          <w:sz w:val="22"/>
          <w:szCs w:val="22"/>
        </w:rPr>
        <w:t>56.3</w:t>
      </w:r>
      <w:r w:rsidRPr="00272C09">
        <w:rPr>
          <w:rFonts w:ascii="Arial" w:eastAsia="Arial Unicode MS" w:hAnsi="Arial" w:cs="Arial"/>
          <w:color w:val="000000"/>
          <w:sz w:val="22"/>
          <w:szCs w:val="22"/>
        </w:rPr>
        <w:t>m</w:t>
      </w:r>
      <w:r w:rsidRPr="00272C09">
        <w:rPr>
          <w:rFonts w:ascii="Arial" w:eastAsia="Arial Unicode MS" w:hAnsi="Arial" w:cs="Arial"/>
          <w:color w:val="000000"/>
          <w:sz w:val="22"/>
          <w:szCs w:val="22"/>
        </w:rPr>
        <w:t xml:space="preserve"> (31 March 201</w:t>
      </w:r>
      <w:r w:rsidRPr="00272C09">
        <w:rPr>
          <w:rFonts w:ascii="Arial" w:eastAsia="Arial Unicode MS" w:hAnsi="Arial" w:cs="Arial"/>
          <w:color w:val="000000"/>
          <w:sz w:val="22"/>
          <w:szCs w:val="22"/>
        </w:rPr>
        <w:t>6</w:t>
      </w:r>
      <w:r w:rsidRPr="00272C09">
        <w:rPr>
          <w:rFonts w:ascii="Arial" w:eastAsia="Arial Unicode MS" w:hAnsi="Arial" w:cs="Arial"/>
          <w:color w:val="000000"/>
          <w:sz w:val="22"/>
          <w:szCs w:val="22"/>
        </w:rPr>
        <w:t>: £</w:t>
      </w:r>
      <w:r w:rsidRPr="00272C09">
        <w:rPr>
          <w:rFonts w:ascii="Arial" w:eastAsia="Arial Unicode MS" w:hAnsi="Arial" w:cs="Arial"/>
          <w:color w:val="000000"/>
          <w:sz w:val="22"/>
          <w:szCs w:val="22"/>
        </w:rPr>
        <w:t>210.3</w:t>
      </w:r>
      <w:r w:rsidRPr="00272C09">
        <w:rPr>
          <w:rFonts w:ascii="Arial" w:eastAsia="Arial Unicode MS" w:hAnsi="Arial" w:cs="Arial"/>
          <w:color w:val="000000"/>
          <w:sz w:val="22"/>
          <w:szCs w:val="22"/>
        </w:rPr>
        <w:t xml:space="preserve">m.)  This was held with the following institutions: </w:t>
      </w:r>
    </w:p>
    <w:p w:rsidR="00DC78E9" w:rsidRPr="00272C09" w:rsidRDefault="00E56C9A" w:rsidP="00DC78E9">
      <w:pPr>
        <w:autoSpaceDE w:val="0"/>
        <w:autoSpaceDN w:val="0"/>
        <w:adjustRightInd w:val="0"/>
        <w:ind w:left="709"/>
        <w:jc w:val="both"/>
        <w:rPr>
          <w:rFonts w:ascii="Arial" w:eastAsia="Arial Unicode MS" w:hAnsi="Arial" w:cs="Arial"/>
          <w:color w:val="000000"/>
          <w:sz w:val="22"/>
          <w:szCs w:val="22"/>
        </w:rPr>
      </w:pPr>
    </w:p>
    <w:tbl>
      <w:tblPr>
        <w:tblStyle w:val="TableGrid2"/>
        <w:tblW w:w="9639" w:type="dxa"/>
        <w:tblInd w:w="-5"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ook w:val="04A0" w:firstRow="1" w:lastRow="0" w:firstColumn="1" w:lastColumn="0" w:noHBand="0" w:noVBand="1"/>
      </w:tblPr>
      <w:tblGrid>
        <w:gridCol w:w="1701"/>
        <w:gridCol w:w="4820"/>
        <w:gridCol w:w="1417"/>
        <w:gridCol w:w="1701"/>
      </w:tblGrid>
      <w:tr w:rsidR="00B368D6" w:rsidTr="00105290">
        <w:trPr>
          <w:trHeight w:val="431"/>
        </w:trPr>
        <w:tc>
          <w:tcPr>
            <w:tcW w:w="1701" w:type="dxa"/>
            <w:shd w:val="clear" w:color="auto" w:fill="E7E6E6" w:themeFill="background2"/>
          </w:tcPr>
          <w:p w:rsidR="00DC78E9" w:rsidRPr="00272C09"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272C09">
              <w:rPr>
                <w:rFonts w:ascii="Arial" w:eastAsia="Arial Unicode MS" w:hAnsi="Arial" w:cs="Arial"/>
                <w:b/>
                <w:color w:val="000000"/>
                <w:sz w:val="20"/>
                <w:szCs w:val="22"/>
              </w:rPr>
              <w:t>31 March 2016</w:t>
            </w:r>
          </w:p>
        </w:tc>
        <w:tc>
          <w:tcPr>
            <w:tcW w:w="4820" w:type="dxa"/>
            <w:tcBorders>
              <w:top w:val="single" w:sz="4" w:space="0" w:color="008080"/>
              <w:bottom w:val="nil"/>
            </w:tcBorders>
            <w:shd w:val="clear" w:color="auto" w:fill="E7E6E6" w:themeFill="background2"/>
          </w:tcPr>
          <w:p w:rsidR="00DC78E9" w:rsidRPr="00272C09" w:rsidRDefault="00E56C9A" w:rsidP="00105290">
            <w:pPr>
              <w:tabs>
                <w:tab w:val="left" w:pos="1080"/>
              </w:tabs>
              <w:autoSpaceDE w:val="0"/>
              <w:autoSpaceDN w:val="0"/>
              <w:adjustRightInd w:val="0"/>
              <w:rPr>
                <w:rFonts w:ascii="Arial" w:eastAsia="Arial Unicode MS" w:hAnsi="Arial" w:cs="Arial"/>
                <w:b/>
                <w:color w:val="000000"/>
                <w:sz w:val="20"/>
                <w:szCs w:val="22"/>
              </w:rPr>
            </w:pPr>
            <w:r w:rsidRPr="00272C09">
              <w:rPr>
                <w:rFonts w:ascii="Arial" w:eastAsia="Arial Unicode MS" w:hAnsi="Arial" w:cs="Arial"/>
                <w:b/>
                <w:color w:val="000000"/>
                <w:sz w:val="20"/>
                <w:szCs w:val="22"/>
              </w:rPr>
              <w:t>Summary</w:t>
            </w:r>
          </w:p>
        </w:tc>
        <w:tc>
          <w:tcPr>
            <w:tcW w:w="1417" w:type="dxa"/>
            <w:tcBorders>
              <w:top w:val="single" w:sz="4" w:space="0" w:color="008080"/>
              <w:bottom w:val="nil"/>
            </w:tcBorders>
            <w:shd w:val="clear" w:color="auto" w:fill="E7E6E6" w:themeFill="background2"/>
          </w:tcPr>
          <w:p w:rsidR="00DC78E9" w:rsidRPr="00272C09"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272C09">
              <w:rPr>
                <w:rFonts w:ascii="Arial" w:eastAsia="Arial Unicode MS" w:hAnsi="Arial" w:cs="Arial"/>
                <w:b/>
                <w:color w:val="000000"/>
                <w:sz w:val="20"/>
                <w:szCs w:val="22"/>
              </w:rPr>
              <w:t>Rating</w:t>
            </w:r>
          </w:p>
        </w:tc>
        <w:tc>
          <w:tcPr>
            <w:tcW w:w="1701" w:type="dxa"/>
            <w:shd w:val="clear" w:color="auto" w:fill="E7E6E6" w:themeFill="background2"/>
          </w:tcPr>
          <w:p w:rsidR="00DC78E9" w:rsidRPr="00272C09"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272C09">
              <w:rPr>
                <w:rFonts w:ascii="Arial" w:eastAsia="Arial Unicode MS" w:hAnsi="Arial" w:cs="Arial"/>
                <w:b/>
                <w:color w:val="000000"/>
                <w:sz w:val="20"/>
                <w:szCs w:val="22"/>
              </w:rPr>
              <w:t>31 March 2017</w:t>
            </w:r>
          </w:p>
        </w:tc>
      </w:tr>
      <w:tr w:rsidR="00B368D6" w:rsidTr="00105290">
        <w:trPr>
          <w:trHeight w:val="431"/>
        </w:trPr>
        <w:tc>
          <w:tcPr>
            <w:tcW w:w="1701" w:type="dxa"/>
            <w:shd w:val="clear" w:color="auto" w:fill="E7E6E6" w:themeFill="background2"/>
          </w:tcPr>
          <w:p w:rsidR="00DC78E9" w:rsidRPr="00272C09"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272C09">
              <w:rPr>
                <w:rFonts w:ascii="Arial" w:eastAsia="Arial Unicode MS" w:hAnsi="Arial" w:cs="Arial"/>
                <w:b/>
                <w:color w:val="000000"/>
                <w:sz w:val="20"/>
                <w:szCs w:val="22"/>
              </w:rPr>
              <w:t>£m</w:t>
            </w:r>
          </w:p>
        </w:tc>
        <w:tc>
          <w:tcPr>
            <w:tcW w:w="4820" w:type="dxa"/>
            <w:tcBorders>
              <w:top w:val="nil"/>
            </w:tcBorders>
            <w:shd w:val="clear" w:color="auto" w:fill="E7E6E6" w:themeFill="background2"/>
          </w:tcPr>
          <w:p w:rsidR="00DC78E9" w:rsidRPr="00272C09"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p>
        </w:tc>
        <w:tc>
          <w:tcPr>
            <w:tcW w:w="1417" w:type="dxa"/>
            <w:tcBorders>
              <w:top w:val="nil"/>
            </w:tcBorders>
            <w:shd w:val="clear" w:color="auto" w:fill="E7E6E6" w:themeFill="background2"/>
          </w:tcPr>
          <w:p w:rsidR="00DC78E9" w:rsidRPr="00272C09"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p>
        </w:tc>
        <w:tc>
          <w:tcPr>
            <w:tcW w:w="1701" w:type="dxa"/>
            <w:shd w:val="clear" w:color="auto" w:fill="E7E6E6" w:themeFill="background2"/>
          </w:tcPr>
          <w:p w:rsidR="00DC78E9" w:rsidRPr="00272C09" w:rsidRDefault="00E56C9A" w:rsidP="004D7695">
            <w:pPr>
              <w:tabs>
                <w:tab w:val="left" w:pos="1080"/>
              </w:tabs>
              <w:autoSpaceDE w:val="0"/>
              <w:autoSpaceDN w:val="0"/>
              <w:adjustRightInd w:val="0"/>
              <w:jc w:val="right"/>
              <w:rPr>
                <w:rFonts w:ascii="Arial" w:eastAsia="Arial Unicode MS" w:hAnsi="Arial" w:cs="Arial"/>
                <w:b/>
                <w:color w:val="000000"/>
                <w:sz w:val="20"/>
                <w:szCs w:val="22"/>
              </w:rPr>
            </w:pPr>
            <w:r w:rsidRPr="00272C09">
              <w:rPr>
                <w:rFonts w:ascii="Arial" w:eastAsia="Arial Unicode MS" w:hAnsi="Arial" w:cs="Arial"/>
                <w:b/>
                <w:color w:val="000000"/>
                <w:sz w:val="20"/>
                <w:szCs w:val="22"/>
              </w:rPr>
              <w:t>£m</w:t>
            </w:r>
          </w:p>
        </w:tc>
      </w:tr>
      <w:tr w:rsidR="00B368D6" w:rsidTr="00105290">
        <w:trPr>
          <w:trHeight w:val="431"/>
        </w:trPr>
        <w:tc>
          <w:tcPr>
            <w:tcW w:w="1701" w:type="dxa"/>
            <w:shd w:val="clear" w:color="auto" w:fill="E7E6E6" w:themeFill="background2"/>
          </w:tcPr>
          <w:p w:rsidR="00DC78E9" w:rsidRPr="00272C09" w:rsidRDefault="00E56C9A" w:rsidP="00105290">
            <w:pPr>
              <w:tabs>
                <w:tab w:val="left" w:pos="1080"/>
              </w:tabs>
              <w:autoSpaceDE w:val="0"/>
              <w:autoSpaceDN w:val="0"/>
              <w:adjustRightInd w:val="0"/>
              <w:rPr>
                <w:rFonts w:ascii="Arial" w:eastAsia="Arial Unicode MS" w:hAnsi="Arial" w:cs="Arial"/>
                <w:b/>
                <w:color w:val="000000"/>
                <w:sz w:val="20"/>
                <w:szCs w:val="22"/>
              </w:rPr>
            </w:pPr>
          </w:p>
        </w:tc>
        <w:tc>
          <w:tcPr>
            <w:tcW w:w="7938" w:type="dxa"/>
            <w:gridSpan w:val="3"/>
            <w:shd w:val="clear" w:color="auto" w:fill="E7E6E6" w:themeFill="background2"/>
          </w:tcPr>
          <w:p w:rsidR="00DC78E9" w:rsidRPr="00272C09" w:rsidRDefault="00E56C9A" w:rsidP="00105290">
            <w:pPr>
              <w:tabs>
                <w:tab w:val="left" w:pos="1080"/>
              </w:tabs>
              <w:autoSpaceDE w:val="0"/>
              <w:autoSpaceDN w:val="0"/>
              <w:adjustRightInd w:val="0"/>
              <w:rPr>
                <w:rFonts w:ascii="Arial" w:eastAsia="Arial Unicode MS" w:hAnsi="Arial" w:cs="Arial"/>
                <w:b/>
                <w:color w:val="000000"/>
                <w:sz w:val="20"/>
                <w:szCs w:val="22"/>
              </w:rPr>
            </w:pPr>
            <w:r w:rsidRPr="00272C09">
              <w:rPr>
                <w:rFonts w:ascii="Arial" w:eastAsia="Arial Unicode MS" w:hAnsi="Arial" w:cs="Arial"/>
                <w:b/>
                <w:color w:val="000000"/>
                <w:sz w:val="20"/>
                <w:szCs w:val="22"/>
              </w:rPr>
              <w:t>Bank deposit accounts</w:t>
            </w:r>
          </w:p>
        </w:tc>
      </w:tr>
      <w:tr w:rsidR="00B368D6" w:rsidTr="00105290">
        <w:trPr>
          <w:trHeight w:val="431"/>
        </w:trPr>
        <w:tc>
          <w:tcPr>
            <w:tcW w:w="1701" w:type="dxa"/>
          </w:tcPr>
          <w:p w:rsidR="00846083" w:rsidRPr="00076CE1" w:rsidRDefault="00E56C9A" w:rsidP="00846083">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154.8</w:t>
            </w:r>
          </w:p>
        </w:tc>
        <w:tc>
          <w:tcPr>
            <w:tcW w:w="4820" w:type="dxa"/>
          </w:tcPr>
          <w:p w:rsidR="00846083" w:rsidRPr="00076CE1" w:rsidRDefault="00E56C9A" w:rsidP="00846083">
            <w:pPr>
              <w:tabs>
                <w:tab w:val="left" w:pos="1080"/>
              </w:tabs>
              <w:autoSpaceDE w:val="0"/>
              <w:autoSpaceDN w:val="0"/>
              <w:adjustRightInd w:val="0"/>
              <w:rPr>
                <w:rFonts w:ascii="Arial" w:eastAsia="Arial Unicode MS" w:hAnsi="Arial" w:cs="Arial"/>
                <w:color w:val="000000"/>
                <w:sz w:val="20"/>
                <w:szCs w:val="22"/>
              </w:rPr>
            </w:pPr>
            <w:r w:rsidRPr="00076CE1">
              <w:rPr>
                <w:rFonts w:ascii="Arial" w:eastAsia="Arial Unicode MS" w:hAnsi="Arial" w:cs="Arial"/>
                <w:color w:val="000000"/>
                <w:sz w:val="20"/>
                <w:szCs w:val="22"/>
              </w:rPr>
              <w:t>Northern Trust</w:t>
            </w:r>
          </w:p>
        </w:tc>
        <w:tc>
          <w:tcPr>
            <w:tcW w:w="1417" w:type="dxa"/>
          </w:tcPr>
          <w:p w:rsidR="00846083" w:rsidRPr="00076CE1" w:rsidRDefault="00E56C9A" w:rsidP="00846083">
            <w:pPr>
              <w:tabs>
                <w:tab w:val="left" w:pos="330"/>
                <w:tab w:val="center" w:pos="600"/>
                <w:tab w:val="left" w:pos="1080"/>
              </w:tabs>
              <w:autoSpaceDE w:val="0"/>
              <w:autoSpaceDN w:val="0"/>
              <w:adjustRightInd w:val="0"/>
              <w:jc w:val="center"/>
              <w:rPr>
                <w:rFonts w:ascii="Arial" w:eastAsia="Arial Unicode MS" w:hAnsi="Arial" w:cs="Arial"/>
                <w:color w:val="000000"/>
                <w:sz w:val="20"/>
                <w:szCs w:val="22"/>
                <w:highlight w:val="magenta"/>
              </w:rPr>
            </w:pPr>
            <w:r w:rsidRPr="00A209CD">
              <w:rPr>
                <w:rFonts w:ascii="Arial" w:eastAsia="Arial Unicode MS" w:hAnsi="Arial" w:cs="Arial"/>
                <w:color w:val="000000"/>
                <w:sz w:val="20"/>
                <w:szCs w:val="22"/>
              </w:rPr>
              <w:t>A1+</w:t>
            </w:r>
          </w:p>
        </w:tc>
        <w:tc>
          <w:tcPr>
            <w:tcW w:w="1701" w:type="dxa"/>
          </w:tcPr>
          <w:p w:rsidR="00846083" w:rsidRPr="00076CE1" w:rsidRDefault="00E56C9A" w:rsidP="00846083">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47.9</w:t>
            </w:r>
          </w:p>
        </w:tc>
      </w:tr>
      <w:tr w:rsidR="00B368D6" w:rsidTr="00105290">
        <w:trPr>
          <w:trHeight w:val="431"/>
        </w:trPr>
        <w:tc>
          <w:tcPr>
            <w:tcW w:w="1701" w:type="dxa"/>
          </w:tcPr>
          <w:p w:rsidR="00846083" w:rsidRPr="00076CE1" w:rsidRDefault="00E56C9A" w:rsidP="00846083">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55.4</w:t>
            </w:r>
          </w:p>
        </w:tc>
        <w:tc>
          <w:tcPr>
            <w:tcW w:w="4820" w:type="dxa"/>
          </w:tcPr>
          <w:p w:rsidR="00846083" w:rsidRPr="00076CE1" w:rsidRDefault="00E56C9A" w:rsidP="00846083">
            <w:pPr>
              <w:tabs>
                <w:tab w:val="left" w:pos="1080"/>
              </w:tabs>
              <w:autoSpaceDE w:val="0"/>
              <w:autoSpaceDN w:val="0"/>
              <w:adjustRightInd w:val="0"/>
              <w:rPr>
                <w:rFonts w:ascii="Arial" w:eastAsia="Arial Unicode MS" w:hAnsi="Arial" w:cs="Arial"/>
                <w:color w:val="000000"/>
                <w:sz w:val="20"/>
                <w:szCs w:val="22"/>
              </w:rPr>
            </w:pPr>
            <w:proofErr w:type="spellStart"/>
            <w:r w:rsidRPr="00076CE1">
              <w:rPr>
                <w:rFonts w:ascii="Arial" w:eastAsia="Arial Unicode MS" w:hAnsi="Arial" w:cs="Arial"/>
                <w:color w:val="000000"/>
                <w:sz w:val="20"/>
                <w:szCs w:val="22"/>
              </w:rPr>
              <w:t>Svenska</w:t>
            </w:r>
            <w:proofErr w:type="spellEnd"/>
            <w:r w:rsidRPr="00076CE1">
              <w:rPr>
                <w:rFonts w:ascii="Arial" w:eastAsia="Arial Unicode MS" w:hAnsi="Arial" w:cs="Arial"/>
                <w:color w:val="000000"/>
                <w:sz w:val="20"/>
                <w:szCs w:val="22"/>
              </w:rPr>
              <w:t xml:space="preserve"> </w:t>
            </w:r>
            <w:proofErr w:type="spellStart"/>
            <w:r w:rsidRPr="00076CE1">
              <w:rPr>
                <w:rFonts w:ascii="Arial" w:eastAsia="Arial Unicode MS" w:hAnsi="Arial" w:cs="Arial"/>
                <w:color w:val="000000"/>
                <w:sz w:val="20"/>
                <w:szCs w:val="22"/>
              </w:rPr>
              <w:t>Handelsbanken</w:t>
            </w:r>
            <w:proofErr w:type="spellEnd"/>
          </w:p>
        </w:tc>
        <w:tc>
          <w:tcPr>
            <w:tcW w:w="1417" w:type="dxa"/>
          </w:tcPr>
          <w:p w:rsidR="00846083" w:rsidRPr="00076CE1" w:rsidRDefault="00E56C9A" w:rsidP="00846083">
            <w:pPr>
              <w:tabs>
                <w:tab w:val="left" w:pos="1080"/>
              </w:tabs>
              <w:autoSpaceDE w:val="0"/>
              <w:autoSpaceDN w:val="0"/>
              <w:adjustRightInd w:val="0"/>
              <w:jc w:val="center"/>
              <w:rPr>
                <w:rFonts w:ascii="Arial" w:eastAsia="Arial Unicode MS" w:hAnsi="Arial" w:cs="Arial"/>
                <w:color w:val="000000"/>
                <w:sz w:val="20"/>
                <w:szCs w:val="22"/>
                <w:highlight w:val="magenta"/>
              </w:rPr>
            </w:pPr>
            <w:r w:rsidRPr="00A209CD">
              <w:rPr>
                <w:rFonts w:ascii="Arial" w:eastAsia="Arial Unicode MS" w:hAnsi="Arial" w:cs="Arial"/>
                <w:color w:val="000000"/>
                <w:sz w:val="20"/>
                <w:szCs w:val="22"/>
              </w:rPr>
              <w:t>A1+</w:t>
            </w:r>
          </w:p>
        </w:tc>
        <w:tc>
          <w:tcPr>
            <w:tcW w:w="1701" w:type="dxa"/>
          </w:tcPr>
          <w:p w:rsidR="00846083" w:rsidRPr="00076CE1" w:rsidRDefault="00E56C9A" w:rsidP="00846083">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8.4</w:t>
            </w:r>
          </w:p>
        </w:tc>
      </w:tr>
      <w:tr w:rsidR="00B368D6" w:rsidTr="00105290">
        <w:trPr>
          <w:trHeight w:val="431"/>
        </w:trPr>
        <w:tc>
          <w:tcPr>
            <w:tcW w:w="1701" w:type="dxa"/>
            <w:shd w:val="clear" w:color="auto" w:fill="E7E6E6" w:themeFill="background2"/>
          </w:tcPr>
          <w:p w:rsidR="00846083" w:rsidRPr="00076CE1" w:rsidRDefault="00E56C9A" w:rsidP="00846083">
            <w:pPr>
              <w:tabs>
                <w:tab w:val="left" w:pos="1080"/>
              </w:tabs>
              <w:autoSpaceDE w:val="0"/>
              <w:autoSpaceDN w:val="0"/>
              <w:adjustRightInd w:val="0"/>
              <w:rPr>
                <w:rFonts w:ascii="Arial" w:eastAsia="Arial Unicode MS" w:hAnsi="Arial" w:cs="Arial"/>
                <w:b/>
                <w:color w:val="000000"/>
                <w:sz w:val="20"/>
                <w:szCs w:val="22"/>
              </w:rPr>
            </w:pPr>
          </w:p>
        </w:tc>
        <w:tc>
          <w:tcPr>
            <w:tcW w:w="7938" w:type="dxa"/>
            <w:gridSpan w:val="3"/>
            <w:shd w:val="clear" w:color="auto" w:fill="E7E6E6" w:themeFill="background2"/>
          </w:tcPr>
          <w:p w:rsidR="00846083" w:rsidRPr="00076CE1" w:rsidRDefault="00E56C9A" w:rsidP="00846083">
            <w:pPr>
              <w:tabs>
                <w:tab w:val="left" w:pos="1080"/>
              </w:tabs>
              <w:autoSpaceDE w:val="0"/>
              <w:autoSpaceDN w:val="0"/>
              <w:adjustRightInd w:val="0"/>
              <w:rPr>
                <w:rFonts w:ascii="Arial" w:eastAsia="Arial Unicode MS" w:hAnsi="Arial" w:cs="Arial"/>
                <w:color w:val="000000"/>
                <w:sz w:val="20"/>
                <w:szCs w:val="22"/>
              </w:rPr>
            </w:pPr>
            <w:r w:rsidRPr="00076CE1">
              <w:rPr>
                <w:rFonts w:ascii="Arial" w:eastAsia="Arial Unicode MS" w:hAnsi="Arial" w:cs="Arial"/>
                <w:b/>
                <w:color w:val="000000"/>
                <w:sz w:val="20"/>
                <w:szCs w:val="22"/>
              </w:rPr>
              <w:t>Bank current accounts</w:t>
            </w:r>
          </w:p>
        </w:tc>
      </w:tr>
      <w:tr w:rsidR="00B368D6" w:rsidTr="00105290">
        <w:trPr>
          <w:trHeight w:val="431"/>
        </w:trPr>
        <w:tc>
          <w:tcPr>
            <w:tcW w:w="1701" w:type="dxa"/>
          </w:tcPr>
          <w:p w:rsidR="00846083" w:rsidRPr="00076CE1" w:rsidRDefault="00E56C9A" w:rsidP="00846083">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0.1</w:t>
            </w:r>
          </w:p>
        </w:tc>
        <w:tc>
          <w:tcPr>
            <w:tcW w:w="4820" w:type="dxa"/>
          </w:tcPr>
          <w:p w:rsidR="00846083" w:rsidRPr="00076CE1" w:rsidRDefault="00E56C9A" w:rsidP="00846083">
            <w:pPr>
              <w:tabs>
                <w:tab w:val="left" w:pos="1080"/>
              </w:tabs>
              <w:autoSpaceDE w:val="0"/>
              <w:autoSpaceDN w:val="0"/>
              <w:adjustRightInd w:val="0"/>
              <w:rPr>
                <w:rFonts w:ascii="Arial" w:eastAsia="Arial Unicode MS" w:hAnsi="Arial" w:cs="Arial"/>
                <w:color w:val="000000"/>
                <w:sz w:val="20"/>
                <w:szCs w:val="22"/>
              </w:rPr>
            </w:pPr>
            <w:r w:rsidRPr="00076CE1">
              <w:rPr>
                <w:rFonts w:ascii="Arial" w:eastAsia="Arial Unicode MS" w:hAnsi="Arial" w:cs="Arial"/>
                <w:color w:val="000000"/>
                <w:sz w:val="20"/>
                <w:szCs w:val="22"/>
              </w:rPr>
              <w:t xml:space="preserve">NatWest </w:t>
            </w:r>
          </w:p>
        </w:tc>
        <w:tc>
          <w:tcPr>
            <w:tcW w:w="1417" w:type="dxa"/>
          </w:tcPr>
          <w:p w:rsidR="00846083" w:rsidRPr="00076CE1" w:rsidRDefault="00E56C9A" w:rsidP="00846083">
            <w:pPr>
              <w:tabs>
                <w:tab w:val="left" w:pos="1080"/>
              </w:tabs>
              <w:autoSpaceDE w:val="0"/>
              <w:autoSpaceDN w:val="0"/>
              <w:adjustRightInd w:val="0"/>
              <w:jc w:val="center"/>
              <w:rPr>
                <w:rFonts w:ascii="Arial" w:eastAsia="Arial Unicode MS" w:hAnsi="Arial" w:cs="Arial"/>
                <w:color w:val="000000"/>
                <w:sz w:val="20"/>
                <w:szCs w:val="22"/>
              </w:rPr>
            </w:pPr>
            <w:r>
              <w:rPr>
                <w:rFonts w:ascii="Arial" w:eastAsia="Arial Unicode MS" w:hAnsi="Arial" w:cs="Arial"/>
                <w:color w:val="000000"/>
                <w:sz w:val="20"/>
                <w:szCs w:val="22"/>
              </w:rPr>
              <w:t>A3</w:t>
            </w:r>
          </w:p>
        </w:tc>
        <w:tc>
          <w:tcPr>
            <w:tcW w:w="1701" w:type="dxa"/>
          </w:tcPr>
          <w:p w:rsidR="00846083" w:rsidRPr="00076CE1" w:rsidRDefault="00E56C9A" w:rsidP="00846083">
            <w:pPr>
              <w:tabs>
                <w:tab w:val="left" w:pos="1080"/>
              </w:tabs>
              <w:autoSpaceDE w:val="0"/>
              <w:autoSpaceDN w:val="0"/>
              <w:adjustRightInd w:val="0"/>
              <w:jc w:val="right"/>
              <w:rPr>
                <w:rFonts w:ascii="Arial" w:eastAsia="Arial Unicode MS" w:hAnsi="Arial" w:cs="Arial"/>
                <w:color w:val="000000"/>
                <w:sz w:val="20"/>
                <w:szCs w:val="22"/>
              </w:rPr>
            </w:pPr>
            <w:r>
              <w:rPr>
                <w:rFonts w:ascii="Arial" w:eastAsia="Arial Unicode MS" w:hAnsi="Arial" w:cs="Arial"/>
                <w:color w:val="000000"/>
                <w:sz w:val="20"/>
                <w:szCs w:val="22"/>
              </w:rPr>
              <w:t>-</w:t>
            </w:r>
          </w:p>
        </w:tc>
      </w:tr>
      <w:tr w:rsidR="00B368D6" w:rsidTr="00105290">
        <w:trPr>
          <w:trHeight w:val="431"/>
        </w:trPr>
        <w:tc>
          <w:tcPr>
            <w:tcW w:w="1701" w:type="dxa"/>
            <w:shd w:val="clear" w:color="auto" w:fill="E7E6E6" w:themeFill="background2"/>
          </w:tcPr>
          <w:p w:rsidR="00846083" w:rsidRPr="00076CE1" w:rsidRDefault="00E56C9A" w:rsidP="00846083">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210.3</w:t>
            </w:r>
          </w:p>
        </w:tc>
        <w:tc>
          <w:tcPr>
            <w:tcW w:w="4820" w:type="dxa"/>
            <w:shd w:val="clear" w:color="auto" w:fill="E7E6E6" w:themeFill="background2"/>
          </w:tcPr>
          <w:p w:rsidR="00846083" w:rsidRPr="00076CE1" w:rsidRDefault="00E56C9A" w:rsidP="00846083">
            <w:pPr>
              <w:tabs>
                <w:tab w:val="left" w:pos="1080"/>
              </w:tabs>
              <w:autoSpaceDE w:val="0"/>
              <w:autoSpaceDN w:val="0"/>
              <w:adjustRightInd w:val="0"/>
              <w:rPr>
                <w:rFonts w:ascii="Arial" w:eastAsia="Arial Unicode MS" w:hAnsi="Arial" w:cs="Arial"/>
                <w:b/>
                <w:color w:val="000000"/>
                <w:sz w:val="20"/>
                <w:szCs w:val="22"/>
              </w:rPr>
            </w:pPr>
            <w:r w:rsidRPr="00076CE1">
              <w:rPr>
                <w:rFonts w:ascii="Arial" w:eastAsia="Arial Unicode MS" w:hAnsi="Arial" w:cs="Arial"/>
                <w:b/>
                <w:color w:val="000000"/>
                <w:sz w:val="20"/>
                <w:szCs w:val="22"/>
              </w:rPr>
              <w:t>Total</w:t>
            </w:r>
          </w:p>
        </w:tc>
        <w:tc>
          <w:tcPr>
            <w:tcW w:w="1417" w:type="dxa"/>
            <w:shd w:val="clear" w:color="auto" w:fill="E7E6E6" w:themeFill="background2"/>
          </w:tcPr>
          <w:p w:rsidR="00846083" w:rsidRPr="00076CE1" w:rsidRDefault="00E56C9A" w:rsidP="00846083">
            <w:pPr>
              <w:tabs>
                <w:tab w:val="left" w:pos="1080"/>
              </w:tabs>
              <w:autoSpaceDE w:val="0"/>
              <w:autoSpaceDN w:val="0"/>
              <w:adjustRightInd w:val="0"/>
              <w:jc w:val="right"/>
              <w:rPr>
                <w:rFonts w:ascii="Arial" w:eastAsia="Arial Unicode MS" w:hAnsi="Arial" w:cs="Arial"/>
                <w:b/>
                <w:color w:val="000000"/>
                <w:sz w:val="20"/>
                <w:szCs w:val="22"/>
              </w:rPr>
            </w:pPr>
          </w:p>
        </w:tc>
        <w:tc>
          <w:tcPr>
            <w:tcW w:w="1701" w:type="dxa"/>
            <w:shd w:val="clear" w:color="auto" w:fill="E7E6E6" w:themeFill="background2"/>
          </w:tcPr>
          <w:p w:rsidR="00846083" w:rsidRPr="00076CE1" w:rsidRDefault="00E56C9A" w:rsidP="00846083">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56.3</w:t>
            </w:r>
          </w:p>
        </w:tc>
      </w:tr>
    </w:tbl>
    <w:p w:rsidR="00DC78E9" w:rsidRPr="00076CE1" w:rsidRDefault="00E56C9A" w:rsidP="00DC78E9">
      <w:pPr>
        <w:tabs>
          <w:tab w:val="left" w:pos="1080"/>
        </w:tabs>
        <w:autoSpaceDE w:val="0"/>
        <w:autoSpaceDN w:val="0"/>
        <w:adjustRightInd w:val="0"/>
        <w:ind w:left="709"/>
        <w:jc w:val="right"/>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1</w:t>
      </w:r>
      <w:r>
        <w:rPr>
          <w:rFonts w:ascii="Arial" w:eastAsia="Arial Unicode MS" w:hAnsi="Arial" w:cs="Arial"/>
          <w:b/>
          <w:color w:val="000000"/>
          <w:sz w:val="32"/>
          <w:szCs w:val="22"/>
        </w:rPr>
        <w:t>8</w:t>
      </w:r>
      <w:r w:rsidRPr="00076CE1">
        <w:rPr>
          <w:rFonts w:ascii="Arial" w:eastAsia="Arial Unicode MS" w:hAnsi="Arial" w:cs="Arial"/>
          <w:b/>
          <w:color w:val="000000"/>
          <w:sz w:val="32"/>
          <w:szCs w:val="22"/>
        </w:rPr>
        <w:t>.7 Liquidity risks</w:t>
      </w:r>
    </w:p>
    <w:p w:rsidR="00DC78E9" w:rsidRPr="00076CE1" w:rsidRDefault="00E56C9A" w:rsidP="00DC78E9">
      <w:pPr>
        <w:autoSpaceDE w:val="0"/>
        <w:autoSpaceDN w:val="0"/>
        <w:adjustRightInd w:val="0"/>
        <w:jc w:val="both"/>
        <w:rPr>
          <w:rFonts w:ascii="Arial" w:eastAsia="Arial Unicode MS" w:hAnsi="Arial" w:cs="Arial"/>
          <w:b/>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Liquidity risk represents the risk that the Fund will not be able to meet its financial obligations as they fall due.  The Fund therefore takes steps to ensure that there are adequate cash resources to meet its commitments. </w:t>
      </w: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The Fund has immediate access </w:t>
      </w:r>
      <w:r w:rsidRPr="00076CE1">
        <w:rPr>
          <w:rFonts w:ascii="Arial" w:eastAsia="Arial Unicode MS" w:hAnsi="Arial" w:cs="Arial"/>
          <w:color w:val="000000"/>
          <w:sz w:val="22"/>
          <w:szCs w:val="22"/>
        </w:rPr>
        <w:t xml:space="preserve">to its cash holdings. </w:t>
      </w: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Management prepares periodic cash flow forecasts to understand and manage the timing of the Fund's cash flow.  The appropriate strategic level of cash balances to be held forms part of the Funds investment strategy. </w:t>
      </w: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All financial </w:t>
      </w:r>
      <w:r w:rsidRPr="00076CE1">
        <w:rPr>
          <w:rFonts w:ascii="Arial" w:eastAsia="Arial Unicode MS" w:hAnsi="Arial" w:cs="Arial"/>
          <w:color w:val="000000"/>
          <w:sz w:val="22"/>
          <w:szCs w:val="22"/>
        </w:rPr>
        <w:t>liabilities at 31 March 2017</w:t>
      </w:r>
      <w:r w:rsidRPr="00076CE1">
        <w:rPr>
          <w:rFonts w:ascii="Arial" w:eastAsia="Arial Unicode MS" w:hAnsi="Arial" w:cs="Arial"/>
          <w:color w:val="000000"/>
          <w:sz w:val="22"/>
          <w:szCs w:val="22"/>
        </w:rPr>
        <w:t xml:space="preserve"> are due within </w:t>
      </w:r>
      <w:r w:rsidRPr="00076CE1">
        <w:rPr>
          <w:rFonts w:ascii="Arial" w:eastAsia="Arial Unicode MS" w:hAnsi="Arial" w:cs="Arial"/>
          <w:color w:val="000000"/>
          <w:sz w:val="22"/>
          <w:szCs w:val="22"/>
        </w:rPr>
        <w:t xml:space="preserve">one year. </w:t>
      </w: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230076">
      <w:pPr>
        <w:autoSpaceDE w:val="0"/>
        <w:autoSpaceDN w:val="0"/>
        <w:adjustRightInd w:val="0"/>
        <w:jc w:val="both"/>
        <w:rPr>
          <w:rFonts w:ascii="Arial" w:eastAsia="Arial Unicode MS" w:hAnsi="Arial" w:cs="Arial"/>
          <w:color w:val="000000"/>
          <w:sz w:val="32"/>
          <w:szCs w:val="22"/>
        </w:rPr>
      </w:pPr>
      <w:r>
        <w:rPr>
          <w:rFonts w:ascii="Arial" w:eastAsia="Arial Unicode MS" w:hAnsi="Arial" w:cs="Arial"/>
          <w:b/>
          <w:color w:val="000000"/>
          <w:sz w:val="32"/>
          <w:szCs w:val="22"/>
        </w:rPr>
        <w:t>19</w:t>
      </w:r>
      <w:r w:rsidRPr="00076CE1">
        <w:rPr>
          <w:rFonts w:ascii="Arial" w:eastAsia="Arial Unicode MS" w:hAnsi="Arial" w:cs="Arial"/>
          <w:b/>
          <w:color w:val="000000"/>
          <w:sz w:val="32"/>
          <w:szCs w:val="22"/>
        </w:rPr>
        <w:t>. ADDITIONAL</w:t>
      </w:r>
      <w:r w:rsidRPr="00076CE1">
        <w:rPr>
          <w:rFonts w:ascii="Arial" w:eastAsia="Arial Unicode MS" w:hAnsi="Arial" w:cs="Arial"/>
          <w:b/>
          <w:color w:val="000000"/>
          <w:sz w:val="32"/>
          <w:szCs w:val="22"/>
        </w:rPr>
        <w:t xml:space="preserve"> VOLUNTARY CONTRIBUTIONS (AVC’S)</w:t>
      </w:r>
    </w:p>
    <w:p w:rsidR="00DC78E9" w:rsidRPr="00076CE1" w:rsidRDefault="00E56C9A" w:rsidP="00DC78E9">
      <w:pPr>
        <w:autoSpaceDE w:val="0"/>
        <w:autoSpaceDN w:val="0"/>
        <w:adjustRightInd w:val="0"/>
        <w:ind w:left="862"/>
        <w:jc w:val="both"/>
        <w:rPr>
          <w:rFonts w:ascii="Arial" w:eastAsia="Arial Unicode MS" w:hAnsi="Arial" w:cs="Arial"/>
          <w:color w:val="000000"/>
          <w:sz w:val="22"/>
          <w:szCs w:val="22"/>
        </w:rPr>
      </w:pPr>
    </w:p>
    <w:p w:rsidR="00DC78E9" w:rsidRPr="00076CE1" w:rsidRDefault="00E56C9A" w:rsidP="00DC78E9">
      <w:pPr>
        <w:tabs>
          <w:tab w:val="left" w:pos="709"/>
        </w:tabs>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Members participating </w:t>
      </w:r>
      <w:r w:rsidRPr="00076CE1">
        <w:rPr>
          <w:rFonts w:ascii="Arial" w:eastAsia="Arial Unicode MS" w:hAnsi="Arial" w:cs="Arial"/>
          <w:color w:val="000000"/>
          <w:sz w:val="22"/>
          <w:szCs w:val="22"/>
        </w:rPr>
        <w:t>in AVC</w:t>
      </w:r>
      <w:r w:rsidRPr="00076CE1">
        <w:rPr>
          <w:rFonts w:ascii="Arial" w:eastAsia="Arial Unicode MS" w:hAnsi="Arial" w:cs="Arial"/>
          <w:color w:val="000000"/>
          <w:sz w:val="22"/>
          <w:szCs w:val="22"/>
        </w:rPr>
        <w:t xml:space="preserve"> arrangements each receive an annual statement confirming the amounts held in their account and the movements during the year.  A summary of the information provided by Equitable Life and Prudential is shown below.  (This summary has not been subject to Au</w:t>
      </w:r>
      <w:r w:rsidRPr="00076CE1">
        <w:rPr>
          <w:rFonts w:ascii="Arial" w:eastAsia="Arial Unicode MS" w:hAnsi="Arial" w:cs="Arial"/>
          <w:color w:val="000000"/>
          <w:sz w:val="22"/>
          <w:szCs w:val="22"/>
        </w:rPr>
        <w:t>dit and the Pension Fund relies on the individual contributors to check deductions made on their behalf are accurately reflected in the statements provided by the AVC providers).  The figures relate to the financial year 1 April 201</w:t>
      </w:r>
      <w:r w:rsidRPr="00076CE1">
        <w:rPr>
          <w:rFonts w:ascii="Arial" w:eastAsia="Arial Unicode MS" w:hAnsi="Arial" w:cs="Arial"/>
          <w:color w:val="000000"/>
          <w:sz w:val="22"/>
          <w:szCs w:val="22"/>
        </w:rPr>
        <w:t>6</w:t>
      </w:r>
      <w:r w:rsidRPr="00076CE1">
        <w:rPr>
          <w:rFonts w:ascii="Arial" w:eastAsia="Arial Unicode MS" w:hAnsi="Arial" w:cs="Arial"/>
          <w:color w:val="000000"/>
          <w:sz w:val="22"/>
          <w:szCs w:val="22"/>
        </w:rPr>
        <w:t xml:space="preserve"> to 31 March 201</w:t>
      </w:r>
      <w:r w:rsidRPr="00076CE1">
        <w:rPr>
          <w:rFonts w:ascii="Arial" w:eastAsia="Arial Unicode MS" w:hAnsi="Arial" w:cs="Arial"/>
          <w:color w:val="000000"/>
          <w:sz w:val="22"/>
          <w:szCs w:val="22"/>
        </w:rPr>
        <w:t>7</w:t>
      </w:r>
      <w:r w:rsidRPr="00076CE1">
        <w:rPr>
          <w:rFonts w:ascii="Arial" w:eastAsia="Arial Unicode MS" w:hAnsi="Arial" w:cs="Arial"/>
          <w:color w:val="000000"/>
          <w:sz w:val="22"/>
          <w:szCs w:val="22"/>
        </w:rPr>
        <w:t xml:space="preserve"> for P</w:t>
      </w:r>
      <w:r w:rsidRPr="00076CE1">
        <w:rPr>
          <w:rFonts w:ascii="Arial" w:eastAsia="Arial Unicode MS" w:hAnsi="Arial" w:cs="Arial"/>
          <w:color w:val="000000"/>
          <w:sz w:val="22"/>
          <w:szCs w:val="22"/>
        </w:rPr>
        <w:t>rudential and 1 September 201</w:t>
      </w:r>
      <w:r w:rsidRPr="00076CE1">
        <w:rPr>
          <w:rFonts w:ascii="Arial" w:eastAsia="Arial Unicode MS" w:hAnsi="Arial" w:cs="Arial"/>
          <w:color w:val="000000"/>
          <w:sz w:val="22"/>
          <w:szCs w:val="22"/>
        </w:rPr>
        <w:t>5</w:t>
      </w:r>
      <w:r w:rsidRPr="00076CE1">
        <w:rPr>
          <w:rFonts w:ascii="Arial" w:eastAsia="Arial Unicode MS" w:hAnsi="Arial" w:cs="Arial"/>
          <w:color w:val="000000"/>
          <w:sz w:val="22"/>
          <w:szCs w:val="22"/>
        </w:rPr>
        <w:t xml:space="preserve"> to 31 August 201</w:t>
      </w:r>
      <w:r w:rsidRPr="00076CE1">
        <w:rPr>
          <w:rFonts w:ascii="Arial" w:eastAsia="Arial Unicode MS" w:hAnsi="Arial" w:cs="Arial"/>
          <w:color w:val="000000"/>
          <w:sz w:val="22"/>
          <w:szCs w:val="22"/>
        </w:rPr>
        <w:t>6</w:t>
      </w:r>
      <w:r w:rsidRPr="00076CE1">
        <w:rPr>
          <w:rFonts w:ascii="Arial" w:eastAsia="Arial Unicode MS" w:hAnsi="Arial" w:cs="Arial"/>
          <w:color w:val="000000"/>
          <w:sz w:val="22"/>
          <w:szCs w:val="22"/>
        </w:rPr>
        <w:t xml:space="preserve"> for Equitable Life and are not included in the Pension Fund accounts in accordance with </w:t>
      </w:r>
      <w:r w:rsidRPr="00076CE1">
        <w:rPr>
          <w:rFonts w:ascii="Arial" w:eastAsia="Arial Unicode MS" w:hAnsi="Arial" w:cs="Arial"/>
          <w:i/>
          <w:color w:val="000000"/>
          <w:sz w:val="22"/>
          <w:szCs w:val="22"/>
        </w:rPr>
        <w:t>Regulation 4(1</w:t>
      </w:r>
      <w:r w:rsidRPr="00076CE1">
        <w:rPr>
          <w:rFonts w:ascii="Arial" w:eastAsia="Arial Unicode MS" w:hAnsi="Arial" w:cs="Arial"/>
          <w:i/>
          <w:color w:val="000000"/>
          <w:sz w:val="22"/>
          <w:szCs w:val="22"/>
        </w:rPr>
        <w:t>) (</w:t>
      </w:r>
      <w:r w:rsidRPr="00076CE1">
        <w:rPr>
          <w:rFonts w:ascii="Arial" w:eastAsia="Arial Unicode MS" w:hAnsi="Arial" w:cs="Arial"/>
          <w:i/>
          <w:color w:val="000000"/>
          <w:sz w:val="22"/>
          <w:szCs w:val="22"/>
        </w:rPr>
        <w:t xml:space="preserve">b) of the Local </w:t>
      </w:r>
      <w:r w:rsidRPr="00076CE1">
        <w:rPr>
          <w:rFonts w:ascii="Arial" w:eastAsia="Arial Unicode MS" w:hAnsi="Arial" w:cs="Arial"/>
          <w:i/>
          <w:color w:val="000000"/>
          <w:sz w:val="22"/>
          <w:szCs w:val="22"/>
        </w:rPr>
        <w:t>Government</w:t>
      </w:r>
      <w:r w:rsidRPr="00076CE1">
        <w:rPr>
          <w:rFonts w:ascii="Arial" w:eastAsia="Arial Unicode MS" w:hAnsi="Arial" w:cs="Arial"/>
          <w:i/>
          <w:color w:val="000000"/>
          <w:sz w:val="22"/>
          <w:szCs w:val="22"/>
        </w:rPr>
        <w:t xml:space="preserve"> Pension Scheme (Management and Investment of Funds) Regulations 2016.</w:t>
      </w:r>
    </w:p>
    <w:p w:rsidR="00DC78E9" w:rsidRPr="00076CE1" w:rsidRDefault="00E56C9A" w:rsidP="00DC78E9">
      <w:pPr>
        <w:tabs>
          <w:tab w:val="left" w:pos="709"/>
        </w:tabs>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tabs>
          <w:tab w:val="left" w:pos="709"/>
        </w:tabs>
        <w:autoSpaceDE w:val="0"/>
        <w:autoSpaceDN w:val="0"/>
        <w:adjustRightInd w:val="0"/>
        <w:ind w:left="709"/>
        <w:jc w:val="both"/>
        <w:rPr>
          <w:rFonts w:ascii="Arial" w:eastAsia="Arial Unicode MS" w:hAnsi="Arial" w:cs="Arial"/>
          <w:color w:val="000000"/>
          <w:sz w:val="22"/>
          <w:szCs w:val="22"/>
        </w:rPr>
      </w:pPr>
    </w:p>
    <w:tbl>
      <w:tblPr>
        <w:tblStyle w:val="TableGrid2"/>
        <w:tblW w:w="0" w:type="auto"/>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4977"/>
        <w:gridCol w:w="1539"/>
        <w:gridCol w:w="1539"/>
        <w:gridCol w:w="1538"/>
      </w:tblGrid>
      <w:tr w:rsidR="00B368D6" w:rsidTr="00105290">
        <w:trPr>
          <w:trHeight w:val="431"/>
        </w:trPr>
        <w:tc>
          <w:tcPr>
            <w:tcW w:w="4977" w:type="dxa"/>
            <w:tcBorders>
              <w:bottom w:val="nil"/>
            </w:tcBorders>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2"/>
              </w:rPr>
            </w:pPr>
          </w:p>
        </w:tc>
        <w:tc>
          <w:tcPr>
            <w:tcW w:w="1539"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Equitable Life</w:t>
            </w:r>
          </w:p>
        </w:tc>
        <w:tc>
          <w:tcPr>
            <w:tcW w:w="1539"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Prudential</w:t>
            </w:r>
          </w:p>
        </w:tc>
        <w:tc>
          <w:tcPr>
            <w:tcW w:w="1538" w:type="dxa"/>
            <w:shd w:val="clear" w:color="auto" w:fill="E7E6E6" w:themeFill="background2"/>
          </w:tcPr>
          <w:p w:rsidR="00DC78E9" w:rsidRPr="00076CE1" w:rsidRDefault="00E56C9A" w:rsidP="00105290">
            <w:pPr>
              <w:tabs>
                <w:tab w:val="left" w:pos="1080"/>
              </w:tabs>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Total</w:t>
            </w:r>
          </w:p>
        </w:tc>
      </w:tr>
      <w:tr w:rsidR="00B368D6" w:rsidTr="00105290">
        <w:trPr>
          <w:trHeight w:val="431"/>
        </w:trPr>
        <w:tc>
          <w:tcPr>
            <w:tcW w:w="4977" w:type="dxa"/>
            <w:tcBorders>
              <w:top w:val="nil"/>
            </w:tcBorders>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2"/>
              </w:rPr>
            </w:pPr>
          </w:p>
        </w:tc>
        <w:tc>
          <w:tcPr>
            <w:tcW w:w="1539" w:type="dxa"/>
            <w:shd w:val="clear" w:color="auto" w:fill="E7E6E6" w:themeFill="background2"/>
          </w:tcPr>
          <w:p w:rsidR="00DC78E9" w:rsidRPr="00076CE1" w:rsidRDefault="00E56C9A" w:rsidP="00AC2AD6">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£m</w:t>
            </w:r>
          </w:p>
        </w:tc>
        <w:tc>
          <w:tcPr>
            <w:tcW w:w="1539" w:type="dxa"/>
            <w:shd w:val="clear" w:color="auto" w:fill="E7E6E6" w:themeFill="background2"/>
          </w:tcPr>
          <w:p w:rsidR="00DC78E9" w:rsidRPr="00076CE1" w:rsidRDefault="00E56C9A" w:rsidP="00AC2AD6">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£m</w:t>
            </w:r>
          </w:p>
        </w:tc>
        <w:tc>
          <w:tcPr>
            <w:tcW w:w="1538" w:type="dxa"/>
            <w:shd w:val="clear" w:color="auto" w:fill="E7E6E6" w:themeFill="background2"/>
          </w:tcPr>
          <w:p w:rsidR="00DC78E9" w:rsidRPr="00076CE1" w:rsidRDefault="00E56C9A" w:rsidP="00AC2AD6">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£m</w:t>
            </w:r>
          </w:p>
        </w:tc>
      </w:tr>
      <w:tr w:rsidR="00B368D6" w:rsidTr="00105290">
        <w:trPr>
          <w:trHeight w:val="431"/>
        </w:trPr>
        <w:tc>
          <w:tcPr>
            <w:tcW w:w="4977"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2"/>
              </w:rPr>
            </w:pPr>
            <w:r w:rsidRPr="00076CE1">
              <w:rPr>
                <w:rFonts w:ascii="Arial" w:eastAsia="Arial Unicode MS" w:hAnsi="Arial" w:cs="Arial"/>
                <w:b/>
                <w:color w:val="000000"/>
                <w:sz w:val="20"/>
                <w:szCs w:val="22"/>
              </w:rPr>
              <w:t>Value at start of the year</w:t>
            </w:r>
          </w:p>
        </w:tc>
        <w:tc>
          <w:tcPr>
            <w:tcW w:w="1539"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b/>
                <w:color w:val="000000"/>
                <w:sz w:val="20"/>
                <w:szCs w:val="22"/>
              </w:rPr>
              <w:t>0.8</w:t>
            </w:r>
          </w:p>
        </w:tc>
        <w:tc>
          <w:tcPr>
            <w:tcW w:w="1539"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b/>
                <w:color w:val="000000"/>
                <w:sz w:val="20"/>
                <w:szCs w:val="22"/>
              </w:rPr>
              <w:t>22.0</w:t>
            </w:r>
          </w:p>
        </w:tc>
        <w:tc>
          <w:tcPr>
            <w:tcW w:w="1538"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b/>
                <w:color w:val="000000"/>
                <w:sz w:val="20"/>
                <w:szCs w:val="22"/>
              </w:rPr>
              <w:t>22.8</w:t>
            </w:r>
          </w:p>
        </w:tc>
      </w:tr>
      <w:tr w:rsidR="00B368D6" w:rsidTr="00105290">
        <w:trPr>
          <w:trHeight w:val="431"/>
        </w:trPr>
        <w:tc>
          <w:tcPr>
            <w:tcW w:w="4977"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Income (incl. contributions, bonuses, interest &amp; transfers in)</w:t>
            </w:r>
          </w:p>
        </w:tc>
        <w:tc>
          <w:tcPr>
            <w:tcW w:w="1539"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0</w:t>
            </w:r>
            <w:r w:rsidRPr="00076CE1">
              <w:rPr>
                <w:rFonts w:ascii="Arial" w:eastAsia="Arial Unicode MS" w:hAnsi="Arial" w:cs="Arial"/>
                <w:color w:val="000000"/>
                <w:sz w:val="20"/>
                <w:szCs w:val="22"/>
              </w:rPr>
              <w:t>.0</w:t>
            </w:r>
          </w:p>
        </w:tc>
        <w:tc>
          <w:tcPr>
            <w:tcW w:w="1539"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7.0</w:t>
            </w:r>
          </w:p>
        </w:tc>
        <w:tc>
          <w:tcPr>
            <w:tcW w:w="1538"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7.0</w:t>
            </w:r>
          </w:p>
        </w:tc>
      </w:tr>
      <w:tr w:rsidR="00B368D6" w:rsidTr="00105290">
        <w:trPr>
          <w:trHeight w:val="431"/>
        </w:trPr>
        <w:tc>
          <w:tcPr>
            <w:tcW w:w="4977" w:type="dxa"/>
          </w:tcPr>
          <w:p w:rsidR="00DC78E9" w:rsidRPr="00076CE1" w:rsidRDefault="00E56C9A" w:rsidP="00105290">
            <w:pPr>
              <w:tabs>
                <w:tab w:val="left" w:pos="1080"/>
              </w:tabs>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lastRenderedPageBreak/>
              <w:t>Expenditure (incl. benefits, transfers out &amp; change in market value)</w:t>
            </w:r>
          </w:p>
        </w:tc>
        <w:tc>
          <w:tcPr>
            <w:tcW w:w="1539"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w:t>
            </w:r>
            <w:r w:rsidRPr="00076CE1">
              <w:rPr>
                <w:rFonts w:ascii="Arial" w:eastAsia="Arial Unicode MS" w:hAnsi="Arial" w:cs="Arial"/>
                <w:color w:val="000000"/>
                <w:sz w:val="20"/>
                <w:szCs w:val="22"/>
              </w:rPr>
              <w:t>0.1</w:t>
            </w:r>
            <w:r w:rsidRPr="00076CE1">
              <w:rPr>
                <w:rFonts w:ascii="Arial" w:eastAsia="Arial Unicode MS" w:hAnsi="Arial" w:cs="Arial"/>
                <w:color w:val="000000"/>
                <w:sz w:val="20"/>
                <w:szCs w:val="22"/>
              </w:rPr>
              <w:t>)</w:t>
            </w:r>
          </w:p>
        </w:tc>
        <w:tc>
          <w:tcPr>
            <w:tcW w:w="1539" w:type="dxa"/>
          </w:tcPr>
          <w:p w:rsidR="00DC78E9" w:rsidRPr="00076CE1" w:rsidRDefault="00E56C9A" w:rsidP="005C3C25">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w:t>
            </w:r>
            <w:r w:rsidRPr="00076CE1">
              <w:rPr>
                <w:rFonts w:ascii="Arial" w:eastAsia="Arial Unicode MS" w:hAnsi="Arial" w:cs="Arial"/>
                <w:color w:val="000000"/>
                <w:sz w:val="20"/>
                <w:szCs w:val="22"/>
              </w:rPr>
              <w:t>4.7</w:t>
            </w:r>
            <w:r w:rsidRPr="00076CE1">
              <w:rPr>
                <w:rFonts w:ascii="Arial" w:eastAsia="Arial Unicode MS" w:hAnsi="Arial" w:cs="Arial"/>
                <w:color w:val="000000"/>
                <w:sz w:val="20"/>
                <w:szCs w:val="22"/>
              </w:rPr>
              <w:t>)</w:t>
            </w:r>
          </w:p>
        </w:tc>
        <w:tc>
          <w:tcPr>
            <w:tcW w:w="1538" w:type="dxa"/>
          </w:tcPr>
          <w:p w:rsidR="00DC78E9" w:rsidRPr="00076CE1" w:rsidRDefault="00E56C9A" w:rsidP="00105290">
            <w:pPr>
              <w:tabs>
                <w:tab w:val="left" w:pos="1080"/>
              </w:tabs>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w:t>
            </w:r>
            <w:r w:rsidRPr="00076CE1">
              <w:rPr>
                <w:rFonts w:ascii="Arial" w:eastAsia="Arial Unicode MS" w:hAnsi="Arial" w:cs="Arial"/>
                <w:color w:val="000000"/>
                <w:sz w:val="20"/>
                <w:szCs w:val="22"/>
              </w:rPr>
              <w:t>4.8</w:t>
            </w:r>
            <w:r w:rsidRPr="00076CE1">
              <w:rPr>
                <w:rFonts w:ascii="Arial" w:eastAsia="Arial Unicode MS" w:hAnsi="Arial" w:cs="Arial"/>
                <w:color w:val="000000"/>
                <w:sz w:val="20"/>
                <w:szCs w:val="22"/>
              </w:rPr>
              <w:t>)</w:t>
            </w:r>
          </w:p>
        </w:tc>
      </w:tr>
      <w:tr w:rsidR="00B368D6" w:rsidTr="00105290">
        <w:trPr>
          <w:trHeight w:val="431"/>
        </w:trPr>
        <w:tc>
          <w:tcPr>
            <w:tcW w:w="4977" w:type="dxa"/>
            <w:shd w:val="clear" w:color="auto" w:fill="E7E6E6" w:themeFill="background2"/>
          </w:tcPr>
          <w:p w:rsidR="00DC78E9" w:rsidRPr="00076CE1" w:rsidRDefault="00E56C9A" w:rsidP="00105290">
            <w:pPr>
              <w:tabs>
                <w:tab w:val="left" w:pos="1080"/>
              </w:tabs>
              <w:autoSpaceDE w:val="0"/>
              <w:autoSpaceDN w:val="0"/>
              <w:adjustRightInd w:val="0"/>
              <w:jc w:val="both"/>
              <w:rPr>
                <w:rFonts w:ascii="Arial" w:eastAsia="Arial Unicode MS" w:hAnsi="Arial" w:cs="Arial"/>
                <w:b/>
                <w:color w:val="000000"/>
                <w:sz w:val="20"/>
                <w:szCs w:val="22"/>
              </w:rPr>
            </w:pPr>
            <w:r w:rsidRPr="00076CE1">
              <w:rPr>
                <w:rFonts w:ascii="Arial" w:eastAsia="Arial Unicode MS" w:hAnsi="Arial" w:cs="Arial"/>
                <w:b/>
                <w:color w:val="000000"/>
                <w:sz w:val="20"/>
                <w:szCs w:val="22"/>
              </w:rPr>
              <w:t xml:space="preserve">Value </w:t>
            </w:r>
            <w:r w:rsidRPr="00076CE1">
              <w:rPr>
                <w:rFonts w:ascii="Arial" w:eastAsia="Arial Unicode MS" w:hAnsi="Arial" w:cs="Arial"/>
                <w:b/>
                <w:color w:val="000000"/>
                <w:sz w:val="20"/>
                <w:szCs w:val="22"/>
              </w:rPr>
              <w:t>at the end of the year</w:t>
            </w:r>
          </w:p>
        </w:tc>
        <w:tc>
          <w:tcPr>
            <w:tcW w:w="1539"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0.7</w:t>
            </w:r>
          </w:p>
        </w:tc>
        <w:tc>
          <w:tcPr>
            <w:tcW w:w="1539"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24.3</w:t>
            </w:r>
          </w:p>
        </w:tc>
        <w:tc>
          <w:tcPr>
            <w:tcW w:w="1538" w:type="dxa"/>
            <w:shd w:val="clear" w:color="auto" w:fill="E7E6E6" w:themeFill="background2"/>
          </w:tcPr>
          <w:p w:rsidR="00DC78E9" w:rsidRPr="00076CE1" w:rsidRDefault="00E56C9A" w:rsidP="00105290">
            <w:pPr>
              <w:tabs>
                <w:tab w:val="left" w:pos="1080"/>
              </w:tabs>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25.0</w:t>
            </w:r>
          </w:p>
        </w:tc>
      </w:tr>
    </w:tbl>
    <w:p w:rsidR="00DC78E9" w:rsidRPr="00076CE1" w:rsidRDefault="00E56C9A" w:rsidP="00DC78E9">
      <w:pPr>
        <w:tabs>
          <w:tab w:val="left" w:pos="1080"/>
        </w:tabs>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230076">
      <w:pPr>
        <w:autoSpaceDE w:val="0"/>
        <w:autoSpaceDN w:val="0"/>
        <w:adjustRightInd w:val="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2</w:t>
      </w:r>
      <w:r>
        <w:rPr>
          <w:rFonts w:ascii="Arial" w:eastAsia="Arial Unicode MS" w:hAnsi="Arial" w:cs="Arial"/>
          <w:b/>
          <w:color w:val="000000"/>
          <w:sz w:val="32"/>
          <w:szCs w:val="22"/>
        </w:rPr>
        <w:t>0</w:t>
      </w:r>
      <w:r w:rsidRPr="00076CE1">
        <w:rPr>
          <w:rFonts w:ascii="Arial" w:eastAsia="Arial Unicode MS" w:hAnsi="Arial" w:cs="Arial"/>
          <w:b/>
          <w:color w:val="000000"/>
          <w:sz w:val="32"/>
          <w:szCs w:val="22"/>
        </w:rPr>
        <w:t>. CURRENT</w:t>
      </w:r>
      <w:r w:rsidRPr="00076CE1">
        <w:rPr>
          <w:rFonts w:ascii="Arial" w:eastAsia="Arial Unicode MS" w:hAnsi="Arial" w:cs="Arial"/>
          <w:b/>
          <w:color w:val="000000"/>
          <w:sz w:val="32"/>
          <w:szCs w:val="22"/>
        </w:rPr>
        <w:t xml:space="preserve"> ASSETS</w:t>
      </w:r>
    </w:p>
    <w:p w:rsidR="00DC78E9" w:rsidRPr="00076CE1" w:rsidRDefault="00E56C9A" w:rsidP="00DC78E9">
      <w:pPr>
        <w:autoSpaceDE w:val="0"/>
        <w:autoSpaceDN w:val="0"/>
        <w:adjustRightInd w:val="0"/>
        <w:ind w:left="720"/>
        <w:jc w:val="both"/>
        <w:rPr>
          <w:rFonts w:ascii="Arial" w:eastAsia="Arial Unicode MS" w:hAnsi="Arial" w:cs="Arial"/>
          <w:b/>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05290">
            <w:pPr>
              <w:tabs>
                <w:tab w:val="left" w:pos="717"/>
                <w:tab w:val="left" w:pos="2160"/>
                <w:tab w:val="left" w:pos="6885"/>
              </w:tabs>
              <w:spacing w:after="60"/>
              <w:jc w:val="center"/>
              <w:rPr>
                <w:rFonts w:ascii="Arial" w:eastAsia="Arial Unicode MS" w:hAnsi="Arial" w:cs="Arial"/>
                <w:b/>
                <w:sz w:val="20"/>
                <w:szCs w:val="18"/>
              </w:rPr>
            </w:pPr>
            <w:r w:rsidRPr="00076CE1">
              <w:rPr>
                <w:rFonts w:ascii="Arial" w:eastAsia="Arial Unicode MS" w:hAnsi="Arial" w:cs="Arial"/>
                <w:b/>
                <w:sz w:val="20"/>
                <w:szCs w:val="18"/>
              </w:rPr>
              <w:t>31 March 2016</w:t>
            </w:r>
          </w:p>
        </w:tc>
        <w:tc>
          <w:tcPr>
            <w:tcW w:w="6221" w:type="dxa"/>
            <w:tcBorders>
              <w:bottom w:val="nil"/>
            </w:tcBorders>
            <w:shd w:val="clear" w:color="auto" w:fill="E7E6E6" w:themeFill="background2"/>
          </w:tcPr>
          <w:p w:rsidR="00DC78E9" w:rsidRPr="00076CE1" w:rsidRDefault="00E56C9A" w:rsidP="00105290">
            <w:pPr>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05290">
            <w:pPr>
              <w:tabs>
                <w:tab w:val="left" w:pos="719"/>
                <w:tab w:val="left" w:pos="2160"/>
                <w:tab w:val="left" w:pos="6885"/>
              </w:tabs>
              <w:spacing w:after="60"/>
              <w:jc w:val="center"/>
              <w:rPr>
                <w:rFonts w:ascii="Arial" w:eastAsia="Arial Unicode MS" w:hAnsi="Arial" w:cs="Arial"/>
                <w:b/>
                <w:sz w:val="20"/>
                <w:szCs w:val="18"/>
              </w:rPr>
            </w:pPr>
            <w:r w:rsidRPr="00076CE1">
              <w:rPr>
                <w:rFonts w:ascii="Arial" w:eastAsia="Arial Unicode MS" w:hAnsi="Arial" w:cs="Arial"/>
                <w:b/>
                <w:sz w:val="20"/>
                <w:szCs w:val="18"/>
              </w:rPr>
              <w:t>31 March 2017</w:t>
            </w:r>
          </w:p>
        </w:tc>
      </w:tr>
      <w:tr w:rsidR="00B368D6" w:rsidTr="00105290">
        <w:trPr>
          <w:trHeight w:val="266"/>
        </w:trPr>
        <w:tc>
          <w:tcPr>
            <w:tcW w:w="1717" w:type="dxa"/>
            <w:shd w:val="clear" w:color="auto" w:fill="E7E6E6" w:themeFill="background2"/>
          </w:tcPr>
          <w:p w:rsidR="00DC78E9" w:rsidRPr="00076CE1" w:rsidRDefault="00E56C9A" w:rsidP="00AC2AD6">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AC2AD6">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AC2AD6">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2"/>
              </w:rPr>
              <w:t>13.9</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2"/>
              </w:rPr>
              <w:t>Contributions due – employers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14.1</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2"/>
              </w:rPr>
              <w:t>4.6</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2"/>
              </w:rPr>
              <w:t>Contributions due – members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4.6</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2"/>
              </w:rPr>
              <w:t>9.2</w:t>
            </w:r>
          </w:p>
        </w:tc>
        <w:tc>
          <w:tcPr>
            <w:tcW w:w="6221" w:type="dxa"/>
            <w:shd w:val="clear" w:color="auto" w:fill="auto"/>
          </w:tcPr>
          <w:p w:rsidR="00DC78E9" w:rsidRPr="00076CE1" w:rsidRDefault="00E56C9A" w:rsidP="00230076">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2"/>
              </w:rPr>
              <w:t xml:space="preserve">Debtors </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12.0</w:t>
            </w:r>
          </w:p>
        </w:tc>
      </w:tr>
      <w:tr w:rsidR="00B368D6" w:rsidTr="007B1F35">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2"/>
              </w:rPr>
              <w:t>27.7</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30.</w:t>
            </w:r>
            <w:r w:rsidRPr="00076CE1">
              <w:rPr>
                <w:rFonts w:ascii="Arial" w:eastAsia="Arial Unicode MS" w:hAnsi="Arial" w:cs="Arial"/>
                <w:b/>
                <w:sz w:val="20"/>
                <w:szCs w:val="18"/>
              </w:rPr>
              <w:t>7</w:t>
            </w:r>
          </w:p>
        </w:tc>
      </w:tr>
    </w:tbl>
    <w:p w:rsidR="00DC78E9" w:rsidRPr="00076CE1" w:rsidRDefault="00E56C9A" w:rsidP="00DC78E9">
      <w:pPr>
        <w:autoSpaceDE w:val="0"/>
        <w:autoSpaceDN w:val="0"/>
        <w:adjustRightInd w:val="0"/>
        <w:ind w:left="720"/>
        <w:jc w:val="both"/>
        <w:rPr>
          <w:rFonts w:ascii="Arial" w:eastAsia="Arial Unicode MS" w:hAnsi="Arial" w:cs="Arial"/>
          <w:b/>
          <w:color w:val="000000"/>
          <w:sz w:val="28"/>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05290">
            <w:pPr>
              <w:tabs>
                <w:tab w:val="left" w:pos="717"/>
                <w:tab w:val="left" w:pos="2160"/>
                <w:tab w:val="left" w:pos="6885"/>
              </w:tabs>
              <w:spacing w:after="60"/>
              <w:jc w:val="center"/>
              <w:rPr>
                <w:rFonts w:ascii="Arial" w:eastAsia="Arial Unicode MS" w:hAnsi="Arial" w:cs="Arial"/>
                <w:b/>
                <w:sz w:val="20"/>
                <w:szCs w:val="18"/>
              </w:rPr>
            </w:pPr>
            <w:r w:rsidRPr="00076CE1">
              <w:rPr>
                <w:rFonts w:ascii="Arial" w:eastAsia="Arial Unicode MS" w:hAnsi="Arial" w:cs="Arial"/>
                <w:b/>
                <w:sz w:val="20"/>
                <w:szCs w:val="18"/>
              </w:rPr>
              <w:t>31 March 2016</w:t>
            </w:r>
          </w:p>
        </w:tc>
        <w:tc>
          <w:tcPr>
            <w:tcW w:w="6221" w:type="dxa"/>
            <w:tcBorders>
              <w:bottom w:val="nil"/>
            </w:tcBorders>
            <w:shd w:val="clear" w:color="auto" w:fill="E7E6E6" w:themeFill="background2"/>
          </w:tcPr>
          <w:p w:rsidR="00DC78E9" w:rsidRPr="00076CE1" w:rsidRDefault="00E56C9A" w:rsidP="00105290">
            <w:pPr>
              <w:rPr>
                <w:rFonts w:ascii="Arial" w:eastAsia="Arial Unicode MS" w:hAnsi="Arial" w:cs="Arial"/>
                <w:b/>
                <w:sz w:val="20"/>
                <w:szCs w:val="18"/>
              </w:rPr>
            </w:pPr>
            <w:r w:rsidRPr="00076CE1">
              <w:rPr>
                <w:rFonts w:ascii="Arial" w:eastAsia="Arial Unicode MS" w:hAnsi="Arial" w:cs="Arial"/>
                <w:b/>
                <w:color w:val="000000"/>
                <w:sz w:val="20"/>
                <w:szCs w:val="20"/>
              </w:rPr>
              <w:t>Analysis of debtors</w:t>
            </w:r>
          </w:p>
        </w:tc>
        <w:tc>
          <w:tcPr>
            <w:tcW w:w="1701" w:type="dxa"/>
            <w:shd w:val="clear" w:color="auto" w:fill="E7E6E6" w:themeFill="background2"/>
          </w:tcPr>
          <w:p w:rsidR="00DC78E9" w:rsidRPr="00076CE1" w:rsidRDefault="00E56C9A" w:rsidP="00105290">
            <w:pPr>
              <w:tabs>
                <w:tab w:val="left" w:pos="719"/>
                <w:tab w:val="left" w:pos="2160"/>
                <w:tab w:val="left" w:pos="6885"/>
              </w:tabs>
              <w:spacing w:after="60"/>
              <w:jc w:val="center"/>
              <w:rPr>
                <w:rFonts w:ascii="Arial" w:eastAsia="Arial Unicode MS" w:hAnsi="Arial" w:cs="Arial"/>
                <w:b/>
                <w:sz w:val="20"/>
                <w:szCs w:val="18"/>
              </w:rPr>
            </w:pPr>
            <w:r w:rsidRPr="00076CE1">
              <w:rPr>
                <w:rFonts w:ascii="Arial" w:eastAsia="Arial Unicode MS" w:hAnsi="Arial" w:cs="Arial"/>
                <w:b/>
                <w:sz w:val="20"/>
                <w:szCs w:val="18"/>
              </w:rPr>
              <w:t>31 March 2017</w:t>
            </w:r>
          </w:p>
        </w:tc>
      </w:tr>
      <w:tr w:rsidR="00B368D6" w:rsidTr="00105290">
        <w:trPr>
          <w:trHeight w:val="266"/>
        </w:trPr>
        <w:tc>
          <w:tcPr>
            <w:tcW w:w="1717" w:type="dxa"/>
            <w:shd w:val="clear" w:color="auto" w:fill="E7E6E6" w:themeFill="background2"/>
          </w:tcPr>
          <w:p w:rsidR="00DC78E9" w:rsidRPr="00076CE1" w:rsidRDefault="00E56C9A" w:rsidP="004D7695">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4D7695">
            <w:pPr>
              <w:jc w:val="right"/>
              <w:rPr>
                <w:rFonts w:ascii="Arial" w:eastAsia="Arial Unicode MS" w:hAnsi="Arial" w:cs="Arial"/>
                <w:b/>
                <w:color w:val="000000"/>
                <w:sz w:val="20"/>
                <w:szCs w:val="20"/>
              </w:rPr>
            </w:pPr>
          </w:p>
        </w:tc>
        <w:tc>
          <w:tcPr>
            <w:tcW w:w="1701" w:type="dxa"/>
            <w:shd w:val="clear" w:color="auto" w:fill="E7E6E6" w:themeFill="background2"/>
          </w:tcPr>
          <w:p w:rsidR="00DC78E9" w:rsidRPr="00076CE1" w:rsidRDefault="00E56C9A" w:rsidP="004D7695">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14.9</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Other local authorities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14.6</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12.8</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Other entities and individuals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1</w:t>
            </w:r>
            <w:r w:rsidRPr="00076CE1">
              <w:rPr>
                <w:rFonts w:ascii="Arial" w:eastAsia="Arial Unicode MS" w:hAnsi="Arial" w:cs="Arial"/>
                <w:sz w:val="20"/>
                <w:szCs w:val="18"/>
              </w:rPr>
              <w:t>6</w:t>
            </w:r>
            <w:r w:rsidRPr="00076CE1">
              <w:rPr>
                <w:rFonts w:ascii="Arial" w:eastAsia="Arial Unicode MS" w:hAnsi="Arial" w:cs="Arial"/>
                <w:sz w:val="20"/>
                <w:szCs w:val="18"/>
              </w:rPr>
              <w:t>.</w:t>
            </w:r>
            <w:r w:rsidRPr="00076CE1">
              <w:rPr>
                <w:rFonts w:ascii="Arial" w:eastAsia="Arial Unicode MS" w:hAnsi="Arial" w:cs="Arial"/>
                <w:sz w:val="20"/>
                <w:szCs w:val="18"/>
              </w:rPr>
              <w:t>1</w:t>
            </w:r>
          </w:p>
        </w:tc>
      </w:tr>
      <w:tr w:rsidR="00B368D6" w:rsidTr="002F3C62">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b/>
                <w:color w:val="000000"/>
                <w:sz w:val="20"/>
                <w:szCs w:val="20"/>
              </w:rPr>
              <w:t>27.7</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30.</w:t>
            </w:r>
            <w:r w:rsidRPr="00076CE1">
              <w:rPr>
                <w:rFonts w:ascii="Arial" w:eastAsia="Arial Unicode MS" w:hAnsi="Arial" w:cs="Arial"/>
                <w:b/>
                <w:sz w:val="20"/>
                <w:szCs w:val="18"/>
              </w:rPr>
              <w:t>7</w:t>
            </w:r>
          </w:p>
        </w:tc>
      </w:tr>
    </w:tbl>
    <w:p w:rsidR="00DC78E9" w:rsidRPr="00076CE1" w:rsidRDefault="00E56C9A" w:rsidP="00DC78E9">
      <w:pPr>
        <w:autoSpaceDE w:val="0"/>
        <w:autoSpaceDN w:val="0"/>
        <w:adjustRightInd w:val="0"/>
        <w:ind w:left="720"/>
        <w:jc w:val="both"/>
        <w:rPr>
          <w:rFonts w:ascii="Arial" w:eastAsia="Arial Unicode MS" w:hAnsi="Arial" w:cs="Arial"/>
          <w:b/>
          <w:color w:val="000000"/>
          <w:sz w:val="22"/>
          <w:szCs w:val="22"/>
        </w:rPr>
      </w:pPr>
    </w:p>
    <w:p w:rsidR="002D3A40" w:rsidRPr="00076CE1" w:rsidRDefault="00E56C9A" w:rsidP="00DC78E9">
      <w:pPr>
        <w:autoSpaceDE w:val="0"/>
        <w:autoSpaceDN w:val="0"/>
        <w:adjustRightInd w:val="0"/>
        <w:ind w:left="720"/>
        <w:jc w:val="both"/>
        <w:rPr>
          <w:rFonts w:ascii="Arial" w:eastAsia="Arial Unicode MS" w:hAnsi="Arial" w:cs="Arial"/>
          <w:b/>
          <w:color w:val="000000"/>
          <w:sz w:val="22"/>
          <w:szCs w:val="22"/>
        </w:rPr>
      </w:pPr>
    </w:p>
    <w:p w:rsidR="00DC78E9" w:rsidRPr="00076CE1" w:rsidRDefault="00E56C9A" w:rsidP="00230076">
      <w:pPr>
        <w:autoSpaceDE w:val="0"/>
        <w:autoSpaceDN w:val="0"/>
        <w:adjustRightInd w:val="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t>2</w:t>
      </w:r>
      <w:r>
        <w:rPr>
          <w:rFonts w:ascii="Arial" w:eastAsia="Arial Unicode MS" w:hAnsi="Arial" w:cs="Arial"/>
          <w:b/>
          <w:color w:val="000000"/>
          <w:sz w:val="32"/>
          <w:szCs w:val="22"/>
        </w:rPr>
        <w:t>1</w:t>
      </w:r>
      <w:r w:rsidRPr="00076CE1">
        <w:rPr>
          <w:rFonts w:ascii="Arial" w:eastAsia="Arial Unicode MS" w:hAnsi="Arial" w:cs="Arial"/>
          <w:b/>
          <w:color w:val="000000"/>
          <w:sz w:val="32"/>
          <w:szCs w:val="22"/>
        </w:rPr>
        <w:t>. CURRENT</w:t>
      </w:r>
      <w:r w:rsidRPr="00076CE1">
        <w:rPr>
          <w:rFonts w:ascii="Arial" w:eastAsia="Arial Unicode MS" w:hAnsi="Arial" w:cs="Arial"/>
          <w:b/>
          <w:color w:val="000000"/>
          <w:sz w:val="32"/>
          <w:szCs w:val="22"/>
        </w:rPr>
        <w:t xml:space="preserve"> LIABILITIES</w:t>
      </w:r>
    </w:p>
    <w:p w:rsidR="00DC78E9" w:rsidRPr="00076CE1" w:rsidRDefault="00E56C9A" w:rsidP="00DC78E9">
      <w:pPr>
        <w:autoSpaceDE w:val="0"/>
        <w:autoSpaceDN w:val="0"/>
        <w:adjustRightInd w:val="0"/>
        <w:jc w:val="both"/>
        <w:rPr>
          <w:rFonts w:ascii="Arial" w:eastAsia="Arial Unicode MS" w:hAnsi="Arial" w:cs="Arial"/>
          <w:b/>
          <w:color w:val="000000"/>
          <w:sz w:val="22"/>
          <w:szCs w:val="22"/>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05290">
            <w:pPr>
              <w:tabs>
                <w:tab w:val="left" w:pos="717"/>
                <w:tab w:val="left" w:pos="2160"/>
                <w:tab w:val="left" w:pos="6885"/>
              </w:tabs>
              <w:spacing w:after="60"/>
              <w:jc w:val="center"/>
              <w:rPr>
                <w:rFonts w:ascii="Arial" w:eastAsia="Arial Unicode MS" w:hAnsi="Arial" w:cs="Arial"/>
                <w:b/>
                <w:sz w:val="20"/>
                <w:szCs w:val="18"/>
              </w:rPr>
            </w:pPr>
            <w:r w:rsidRPr="00076CE1">
              <w:rPr>
                <w:rFonts w:ascii="Arial" w:eastAsia="Arial Unicode MS" w:hAnsi="Arial" w:cs="Arial"/>
                <w:b/>
                <w:sz w:val="20"/>
                <w:szCs w:val="18"/>
              </w:rPr>
              <w:t>31 March 2016</w:t>
            </w:r>
          </w:p>
        </w:tc>
        <w:tc>
          <w:tcPr>
            <w:tcW w:w="6221" w:type="dxa"/>
            <w:tcBorders>
              <w:bottom w:val="nil"/>
            </w:tcBorders>
            <w:shd w:val="clear" w:color="auto" w:fill="E7E6E6" w:themeFill="background2"/>
          </w:tcPr>
          <w:p w:rsidR="00DC78E9" w:rsidRPr="00076CE1" w:rsidRDefault="00E56C9A" w:rsidP="00105290">
            <w:pPr>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05290">
            <w:pPr>
              <w:tabs>
                <w:tab w:val="left" w:pos="719"/>
                <w:tab w:val="left" w:pos="2160"/>
                <w:tab w:val="left" w:pos="6885"/>
              </w:tabs>
              <w:spacing w:after="60"/>
              <w:jc w:val="center"/>
              <w:rPr>
                <w:rFonts w:ascii="Arial" w:eastAsia="Arial Unicode MS" w:hAnsi="Arial" w:cs="Arial"/>
                <w:b/>
                <w:sz w:val="20"/>
                <w:szCs w:val="18"/>
              </w:rPr>
            </w:pPr>
            <w:r w:rsidRPr="00076CE1">
              <w:rPr>
                <w:rFonts w:ascii="Arial" w:eastAsia="Arial Unicode MS" w:hAnsi="Arial" w:cs="Arial"/>
                <w:b/>
                <w:sz w:val="20"/>
                <w:szCs w:val="18"/>
              </w:rPr>
              <w:t>31 March 2017</w:t>
            </w:r>
          </w:p>
        </w:tc>
      </w:tr>
      <w:tr w:rsidR="00B368D6" w:rsidTr="00105290">
        <w:trPr>
          <w:trHeight w:val="266"/>
        </w:trPr>
        <w:tc>
          <w:tcPr>
            <w:tcW w:w="1717" w:type="dxa"/>
            <w:shd w:val="clear" w:color="auto" w:fill="E7E6E6" w:themeFill="background2"/>
          </w:tcPr>
          <w:p w:rsidR="00DC78E9" w:rsidRPr="00076CE1" w:rsidRDefault="00E56C9A" w:rsidP="004D7695">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4D7695">
            <w:pPr>
              <w:jc w:val="right"/>
              <w:rPr>
                <w:rFonts w:ascii="Arial" w:eastAsia="Arial Unicode MS" w:hAnsi="Arial" w:cs="Arial"/>
                <w:b/>
                <w:sz w:val="20"/>
                <w:szCs w:val="18"/>
              </w:rPr>
            </w:pPr>
          </w:p>
        </w:tc>
        <w:tc>
          <w:tcPr>
            <w:tcW w:w="1701" w:type="dxa"/>
            <w:shd w:val="clear" w:color="auto" w:fill="E7E6E6" w:themeFill="background2"/>
          </w:tcPr>
          <w:p w:rsidR="00DC78E9" w:rsidRPr="00076CE1" w:rsidRDefault="00E56C9A" w:rsidP="004D7695">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1.1</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Unpaid benefits</w:t>
            </w:r>
          </w:p>
        </w:tc>
        <w:tc>
          <w:tcPr>
            <w:tcW w:w="1701" w:type="dxa"/>
            <w:shd w:val="clear" w:color="auto" w:fill="auto"/>
          </w:tcPr>
          <w:p w:rsidR="00DC78E9" w:rsidRPr="009E5627" w:rsidRDefault="00E56C9A" w:rsidP="00964D54">
            <w:pPr>
              <w:tabs>
                <w:tab w:val="left" w:pos="2160"/>
                <w:tab w:val="left" w:pos="6885"/>
              </w:tabs>
              <w:spacing w:after="60"/>
              <w:jc w:val="right"/>
              <w:rPr>
                <w:rFonts w:ascii="Arial" w:eastAsia="Arial Unicode MS" w:hAnsi="Arial" w:cs="Arial"/>
                <w:sz w:val="20"/>
                <w:szCs w:val="18"/>
                <w:highlight w:val="yellow"/>
              </w:rPr>
            </w:pPr>
            <w:r>
              <w:rPr>
                <w:rFonts w:ascii="Arial" w:eastAsia="Arial Unicode MS" w:hAnsi="Arial" w:cs="Arial"/>
                <w:sz w:val="20"/>
                <w:szCs w:val="18"/>
              </w:rPr>
              <w:t>5.7</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17.7</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Accrued expenses</w:t>
            </w:r>
          </w:p>
        </w:tc>
        <w:tc>
          <w:tcPr>
            <w:tcW w:w="1701" w:type="dxa"/>
            <w:shd w:val="clear" w:color="auto" w:fill="auto"/>
          </w:tcPr>
          <w:p w:rsidR="00DC78E9" w:rsidRPr="009E5627" w:rsidRDefault="00E56C9A" w:rsidP="00105290">
            <w:pPr>
              <w:tabs>
                <w:tab w:val="left" w:pos="2160"/>
                <w:tab w:val="left" w:pos="6885"/>
              </w:tabs>
              <w:spacing w:after="60"/>
              <w:jc w:val="right"/>
              <w:rPr>
                <w:rFonts w:ascii="Arial" w:eastAsia="Arial Unicode MS" w:hAnsi="Arial" w:cs="Arial"/>
                <w:sz w:val="20"/>
                <w:szCs w:val="18"/>
              </w:rPr>
            </w:pPr>
            <w:r>
              <w:rPr>
                <w:rFonts w:ascii="Arial" w:eastAsia="Arial Unicode MS" w:hAnsi="Arial" w:cs="Arial"/>
                <w:sz w:val="20"/>
                <w:szCs w:val="18"/>
              </w:rPr>
              <w:t>7</w:t>
            </w:r>
            <w:r>
              <w:rPr>
                <w:rFonts w:ascii="Arial" w:eastAsia="Arial Unicode MS" w:hAnsi="Arial" w:cs="Arial"/>
                <w:sz w:val="20"/>
                <w:szCs w:val="18"/>
              </w:rPr>
              <w:t>.</w:t>
            </w:r>
            <w:r>
              <w:rPr>
                <w:rFonts w:ascii="Arial" w:eastAsia="Arial Unicode MS" w:hAnsi="Arial" w:cs="Arial"/>
                <w:sz w:val="20"/>
                <w:szCs w:val="18"/>
              </w:rPr>
              <w:t>1</w:t>
            </w:r>
          </w:p>
        </w:tc>
      </w:tr>
      <w:tr w:rsidR="00B368D6" w:rsidTr="00105290">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color w:val="000000"/>
                <w:sz w:val="20"/>
                <w:szCs w:val="20"/>
              </w:rPr>
              <w:t>18.8</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12.8</w:t>
            </w:r>
          </w:p>
        </w:tc>
      </w:tr>
    </w:tbl>
    <w:p w:rsidR="00DC78E9" w:rsidRPr="00076CE1" w:rsidRDefault="00E56C9A" w:rsidP="00DC78E9">
      <w:pPr>
        <w:autoSpaceDE w:val="0"/>
        <w:autoSpaceDN w:val="0"/>
        <w:adjustRightInd w:val="0"/>
        <w:jc w:val="both"/>
        <w:rPr>
          <w:rFonts w:ascii="Arial" w:eastAsia="Arial Unicode MS" w:hAnsi="Arial" w:cs="Arial"/>
          <w:b/>
          <w:color w:val="000000"/>
          <w:sz w:val="20"/>
          <w:szCs w:val="20"/>
        </w:rPr>
      </w:pPr>
    </w:p>
    <w:tbl>
      <w:tblPr>
        <w:tblW w:w="9639"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A0" w:firstRow="1" w:lastRow="0" w:firstColumn="1" w:lastColumn="0" w:noHBand="0" w:noVBand="0"/>
      </w:tblPr>
      <w:tblGrid>
        <w:gridCol w:w="1717"/>
        <w:gridCol w:w="6221"/>
        <w:gridCol w:w="1701"/>
      </w:tblGrid>
      <w:tr w:rsidR="00B368D6" w:rsidTr="00105290">
        <w:trPr>
          <w:trHeight w:val="266"/>
        </w:trPr>
        <w:tc>
          <w:tcPr>
            <w:tcW w:w="1717" w:type="dxa"/>
            <w:shd w:val="clear" w:color="auto" w:fill="E7E6E6" w:themeFill="background2"/>
          </w:tcPr>
          <w:p w:rsidR="00DC78E9" w:rsidRPr="00076CE1" w:rsidRDefault="00E56C9A" w:rsidP="00105290">
            <w:pPr>
              <w:tabs>
                <w:tab w:val="left" w:pos="717"/>
                <w:tab w:val="left" w:pos="2160"/>
                <w:tab w:val="left" w:pos="6885"/>
              </w:tabs>
              <w:spacing w:after="60"/>
              <w:jc w:val="center"/>
              <w:rPr>
                <w:rFonts w:ascii="Arial" w:eastAsia="Arial Unicode MS" w:hAnsi="Arial" w:cs="Arial"/>
                <w:b/>
                <w:sz w:val="20"/>
                <w:szCs w:val="18"/>
              </w:rPr>
            </w:pPr>
            <w:r w:rsidRPr="00076CE1">
              <w:rPr>
                <w:rFonts w:ascii="Arial" w:eastAsia="Arial Unicode MS" w:hAnsi="Arial" w:cs="Arial"/>
                <w:b/>
                <w:sz w:val="20"/>
                <w:szCs w:val="18"/>
              </w:rPr>
              <w:t>31 March 2016</w:t>
            </w:r>
          </w:p>
        </w:tc>
        <w:tc>
          <w:tcPr>
            <w:tcW w:w="6221" w:type="dxa"/>
            <w:tcBorders>
              <w:bottom w:val="nil"/>
            </w:tcBorders>
            <w:shd w:val="clear" w:color="auto" w:fill="E7E6E6" w:themeFill="background2"/>
          </w:tcPr>
          <w:p w:rsidR="00DC78E9" w:rsidRPr="00076CE1" w:rsidRDefault="00E56C9A" w:rsidP="00105290">
            <w:pPr>
              <w:rPr>
                <w:rFonts w:ascii="Arial" w:eastAsia="Arial Unicode MS" w:hAnsi="Arial" w:cs="Arial"/>
                <w:b/>
                <w:sz w:val="20"/>
                <w:szCs w:val="18"/>
              </w:rPr>
            </w:pPr>
            <w:r w:rsidRPr="00076CE1">
              <w:rPr>
                <w:rFonts w:ascii="Arial" w:eastAsia="Arial Unicode MS" w:hAnsi="Arial" w:cs="Arial"/>
                <w:b/>
                <w:color w:val="000000"/>
                <w:sz w:val="20"/>
                <w:szCs w:val="20"/>
              </w:rPr>
              <w:t xml:space="preserve">Analysis of </w:t>
            </w:r>
            <w:r w:rsidRPr="00076CE1">
              <w:rPr>
                <w:rFonts w:ascii="Arial" w:eastAsia="Arial Unicode MS" w:hAnsi="Arial" w:cs="Arial"/>
                <w:b/>
                <w:color w:val="000000"/>
                <w:sz w:val="20"/>
                <w:szCs w:val="20"/>
              </w:rPr>
              <w:t>creditors</w:t>
            </w:r>
          </w:p>
        </w:tc>
        <w:tc>
          <w:tcPr>
            <w:tcW w:w="1701" w:type="dxa"/>
            <w:shd w:val="clear" w:color="auto" w:fill="E7E6E6" w:themeFill="background2"/>
          </w:tcPr>
          <w:p w:rsidR="00DC78E9" w:rsidRPr="00076CE1" w:rsidRDefault="00E56C9A" w:rsidP="00105290">
            <w:pPr>
              <w:tabs>
                <w:tab w:val="left" w:pos="719"/>
                <w:tab w:val="left" w:pos="2160"/>
                <w:tab w:val="left" w:pos="6885"/>
              </w:tabs>
              <w:spacing w:after="60"/>
              <w:jc w:val="center"/>
              <w:rPr>
                <w:rFonts w:ascii="Arial" w:eastAsia="Arial Unicode MS" w:hAnsi="Arial" w:cs="Arial"/>
                <w:b/>
                <w:sz w:val="20"/>
                <w:szCs w:val="18"/>
              </w:rPr>
            </w:pPr>
            <w:r w:rsidRPr="00076CE1">
              <w:rPr>
                <w:rFonts w:ascii="Arial" w:eastAsia="Arial Unicode MS" w:hAnsi="Arial" w:cs="Arial"/>
                <w:b/>
                <w:sz w:val="20"/>
                <w:szCs w:val="18"/>
              </w:rPr>
              <w:t>31 March 2017</w:t>
            </w:r>
          </w:p>
        </w:tc>
      </w:tr>
      <w:tr w:rsidR="00B368D6" w:rsidTr="00105290">
        <w:trPr>
          <w:trHeight w:val="266"/>
        </w:trPr>
        <w:tc>
          <w:tcPr>
            <w:tcW w:w="1717" w:type="dxa"/>
            <w:shd w:val="clear" w:color="auto" w:fill="E7E6E6" w:themeFill="background2"/>
          </w:tcPr>
          <w:p w:rsidR="00DC78E9" w:rsidRPr="00076CE1" w:rsidRDefault="00E56C9A" w:rsidP="004D7695">
            <w:pPr>
              <w:tabs>
                <w:tab w:val="left" w:pos="717"/>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c>
          <w:tcPr>
            <w:tcW w:w="6221" w:type="dxa"/>
            <w:tcBorders>
              <w:top w:val="nil"/>
            </w:tcBorders>
            <w:shd w:val="clear" w:color="auto" w:fill="E7E6E6" w:themeFill="background2"/>
          </w:tcPr>
          <w:p w:rsidR="00DC78E9" w:rsidRPr="00076CE1" w:rsidRDefault="00E56C9A" w:rsidP="004D7695">
            <w:pPr>
              <w:jc w:val="right"/>
              <w:rPr>
                <w:rFonts w:ascii="Arial" w:eastAsia="Arial Unicode MS" w:hAnsi="Arial" w:cs="Arial"/>
                <w:b/>
                <w:color w:val="000000"/>
                <w:sz w:val="20"/>
                <w:szCs w:val="20"/>
              </w:rPr>
            </w:pPr>
          </w:p>
        </w:tc>
        <w:tc>
          <w:tcPr>
            <w:tcW w:w="1701" w:type="dxa"/>
            <w:shd w:val="clear" w:color="auto" w:fill="E7E6E6" w:themeFill="background2"/>
          </w:tcPr>
          <w:p w:rsidR="00DC78E9" w:rsidRPr="00076CE1" w:rsidRDefault="00E56C9A" w:rsidP="004D7695">
            <w:pPr>
              <w:tabs>
                <w:tab w:val="left" w:pos="719"/>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£m</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2.1</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Other local authorities</w:t>
            </w:r>
          </w:p>
        </w:tc>
        <w:tc>
          <w:tcPr>
            <w:tcW w:w="1701" w:type="dxa"/>
            <w:shd w:val="clear" w:color="auto" w:fill="auto"/>
          </w:tcPr>
          <w:p w:rsidR="00061ED9" w:rsidRPr="00076CE1" w:rsidRDefault="00E56C9A" w:rsidP="00964D54">
            <w:pPr>
              <w:tabs>
                <w:tab w:val="left" w:pos="2160"/>
                <w:tab w:val="left" w:pos="6885"/>
              </w:tabs>
              <w:spacing w:after="60"/>
              <w:jc w:val="right"/>
              <w:rPr>
                <w:rFonts w:ascii="Arial" w:eastAsia="Arial Unicode MS" w:hAnsi="Arial" w:cs="Arial"/>
                <w:sz w:val="20"/>
                <w:szCs w:val="18"/>
              </w:rPr>
            </w:pPr>
            <w:r w:rsidRPr="009E5627">
              <w:rPr>
                <w:rFonts w:ascii="Arial" w:eastAsia="Arial Unicode MS" w:hAnsi="Arial" w:cs="Arial"/>
                <w:sz w:val="20"/>
                <w:szCs w:val="18"/>
              </w:rPr>
              <w:t>5.</w:t>
            </w:r>
            <w:r>
              <w:rPr>
                <w:rFonts w:ascii="Arial" w:eastAsia="Arial Unicode MS" w:hAnsi="Arial" w:cs="Arial"/>
                <w:sz w:val="20"/>
                <w:szCs w:val="18"/>
              </w:rPr>
              <w:t>0</w:t>
            </w:r>
          </w:p>
        </w:tc>
      </w:tr>
      <w:tr w:rsidR="00B368D6" w:rsidTr="00105290">
        <w:trPr>
          <w:trHeight w:val="431"/>
        </w:trPr>
        <w:tc>
          <w:tcPr>
            <w:tcW w:w="1717"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color w:val="000000"/>
                <w:sz w:val="20"/>
                <w:szCs w:val="20"/>
              </w:rPr>
              <w:t>16.7</w:t>
            </w:r>
          </w:p>
        </w:tc>
        <w:tc>
          <w:tcPr>
            <w:tcW w:w="6221" w:type="dxa"/>
            <w:shd w:val="clear" w:color="auto" w:fill="auto"/>
          </w:tcPr>
          <w:p w:rsidR="00DC78E9" w:rsidRPr="00076CE1" w:rsidRDefault="00E56C9A" w:rsidP="00105290">
            <w:pPr>
              <w:tabs>
                <w:tab w:val="left" w:pos="1455"/>
                <w:tab w:val="left" w:pos="5040"/>
                <w:tab w:val="left" w:pos="6885"/>
              </w:tabs>
              <w:spacing w:after="120"/>
              <w:jc w:val="both"/>
              <w:rPr>
                <w:rFonts w:ascii="Arial" w:eastAsia="Arial Unicode MS" w:hAnsi="Arial" w:cs="Arial"/>
                <w:sz w:val="20"/>
                <w:szCs w:val="18"/>
              </w:rPr>
            </w:pPr>
            <w:r w:rsidRPr="00076CE1">
              <w:rPr>
                <w:rFonts w:ascii="Arial" w:eastAsia="Arial Unicode MS" w:hAnsi="Arial" w:cs="Arial"/>
                <w:color w:val="000000"/>
                <w:sz w:val="20"/>
                <w:szCs w:val="20"/>
              </w:rPr>
              <w:t>Other entities and individuals</w:t>
            </w:r>
          </w:p>
        </w:tc>
        <w:tc>
          <w:tcPr>
            <w:tcW w:w="1701" w:type="dxa"/>
            <w:shd w:val="clear" w:color="auto" w:fill="auto"/>
          </w:tcPr>
          <w:p w:rsidR="00DC78E9" w:rsidRPr="00076CE1" w:rsidRDefault="00E56C9A" w:rsidP="00105290">
            <w:pPr>
              <w:tabs>
                <w:tab w:val="left" w:pos="2160"/>
                <w:tab w:val="left" w:pos="6885"/>
              </w:tabs>
              <w:spacing w:after="60"/>
              <w:jc w:val="right"/>
              <w:rPr>
                <w:rFonts w:ascii="Arial" w:eastAsia="Arial Unicode MS" w:hAnsi="Arial" w:cs="Arial"/>
                <w:sz w:val="20"/>
                <w:szCs w:val="18"/>
              </w:rPr>
            </w:pPr>
            <w:r w:rsidRPr="00076CE1">
              <w:rPr>
                <w:rFonts w:ascii="Arial" w:eastAsia="Arial Unicode MS" w:hAnsi="Arial" w:cs="Arial"/>
                <w:sz w:val="20"/>
                <w:szCs w:val="18"/>
              </w:rPr>
              <w:t>7.</w:t>
            </w:r>
            <w:r>
              <w:rPr>
                <w:rFonts w:ascii="Arial" w:eastAsia="Arial Unicode MS" w:hAnsi="Arial" w:cs="Arial"/>
                <w:sz w:val="20"/>
                <w:szCs w:val="18"/>
              </w:rPr>
              <w:t>8</w:t>
            </w:r>
          </w:p>
        </w:tc>
      </w:tr>
      <w:tr w:rsidR="00B368D6" w:rsidTr="00105290">
        <w:trPr>
          <w:trHeight w:val="431"/>
        </w:trPr>
        <w:tc>
          <w:tcPr>
            <w:tcW w:w="1717"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color w:val="000000"/>
                <w:sz w:val="20"/>
                <w:szCs w:val="20"/>
              </w:rPr>
              <w:t>18.8</w:t>
            </w:r>
          </w:p>
        </w:tc>
        <w:tc>
          <w:tcPr>
            <w:tcW w:w="6221" w:type="dxa"/>
            <w:shd w:val="clear" w:color="auto" w:fill="E7E6E6" w:themeFill="background2"/>
          </w:tcPr>
          <w:p w:rsidR="00DC78E9" w:rsidRPr="00076CE1" w:rsidRDefault="00E56C9A" w:rsidP="00105290">
            <w:pPr>
              <w:tabs>
                <w:tab w:val="left" w:pos="1455"/>
                <w:tab w:val="left" w:pos="5040"/>
                <w:tab w:val="left" w:pos="6885"/>
              </w:tabs>
              <w:spacing w:after="120"/>
              <w:jc w:val="both"/>
              <w:rPr>
                <w:rFonts w:ascii="Arial" w:eastAsia="Arial Unicode MS" w:hAnsi="Arial" w:cs="Arial"/>
                <w:b/>
                <w:sz w:val="20"/>
                <w:szCs w:val="18"/>
              </w:rPr>
            </w:pPr>
          </w:p>
        </w:tc>
        <w:tc>
          <w:tcPr>
            <w:tcW w:w="1701" w:type="dxa"/>
            <w:shd w:val="clear" w:color="auto" w:fill="E7E6E6" w:themeFill="background2"/>
          </w:tcPr>
          <w:p w:rsidR="00DC78E9" w:rsidRPr="00076CE1" w:rsidRDefault="00E56C9A" w:rsidP="00105290">
            <w:pPr>
              <w:tabs>
                <w:tab w:val="left" w:pos="2160"/>
                <w:tab w:val="left" w:pos="6885"/>
              </w:tabs>
              <w:spacing w:after="60"/>
              <w:jc w:val="right"/>
              <w:rPr>
                <w:rFonts w:ascii="Arial" w:eastAsia="Arial Unicode MS" w:hAnsi="Arial" w:cs="Arial"/>
                <w:b/>
                <w:sz w:val="20"/>
                <w:szCs w:val="18"/>
              </w:rPr>
            </w:pPr>
            <w:r w:rsidRPr="00076CE1">
              <w:rPr>
                <w:rFonts w:ascii="Arial" w:eastAsia="Arial Unicode MS" w:hAnsi="Arial" w:cs="Arial"/>
                <w:b/>
                <w:sz w:val="20"/>
                <w:szCs w:val="18"/>
              </w:rPr>
              <w:t>12.8</w:t>
            </w:r>
          </w:p>
        </w:tc>
      </w:tr>
    </w:tbl>
    <w:p w:rsidR="00DC78E9" w:rsidRPr="00076CE1" w:rsidRDefault="00E56C9A" w:rsidP="00DC78E9">
      <w:pPr>
        <w:autoSpaceDE w:val="0"/>
        <w:autoSpaceDN w:val="0"/>
        <w:adjustRightInd w:val="0"/>
        <w:ind w:left="862"/>
        <w:jc w:val="both"/>
        <w:rPr>
          <w:rFonts w:ascii="Arial" w:eastAsia="Arial Unicode MS" w:hAnsi="Arial" w:cs="Arial"/>
          <w:color w:val="000000"/>
          <w:sz w:val="28"/>
          <w:szCs w:val="22"/>
        </w:rPr>
      </w:pPr>
    </w:p>
    <w:p w:rsidR="00DC78E9" w:rsidRPr="00076CE1" w:rsidRDefault="00E56C9A" w:rsidP="00230076">
      <w:pPr>
        <w:autoSpaceDE w:val="0"/>
        <w:autoSpaceDN w:val="0"/>
        <w:adjustRightInd w:val="0"/>
        <w:jc w:val="both"/>
        <w:rPr>
          <w:rFonts w:ascii="Arial" w:eastAsia="Arial Unicode MS" w:hAnsi="Arial" w:cs="Arial"/>
          <w:color w:val="000000"/>
          <w:sz w:val="32"/>
          <w:szCs w:val="22"/>
        </w:rPr>
      </w:pPr>
      <w:r w:rsidRPr="00076CE1">
        <w:rPr>
          <w:rFonts w:ascii="Arial" w:eastAsia="Arial Unicode MS" w:hAnsi="Arial" w:cs="Arial"/>
          <w:b/>
          <w:color w:val="000000"/>
          <w:sz w:val="32"/>
          <w:szCs w:val="22"/>
        </w:rPr>
        <w:t>2</w:t>
      </w:r>
      <w:r>
        <w:rPr>
          <w:rFonts w:ascii="Arial" w:eastAsia="Arial Unicode MS" w:hAnsi="Arial" w:cs="Arial"/>
          <w:b/>
          <w:color w:val="000000"/>
          <w:sz w:val="32"/>
          <w:szCs w:val="22"/>
        </w:rPr>
        <w:t>2</w:t>
      </w:r>
      <w:r w:rsidRPr="00076CE1">
        <w:rPr>
          <w:rFonts w:ascii="Arial" w:eastAsia="Arial Unicode MS" w:hAnsi="Arial" w:cs="Arial"/>
          <w:b/>
          <w:color w:val="000000"/>
          <w:sz w:val="32"/>
          <w:szCs w:val="22"/>
        </w:rPr>
        <w:t>. CONTRACTUAL</w:t>
      </w:r>
      <w:r w:rsidRPr="00076CE1">
        <w:rPr>
          <w:rFonts w:ascii="Arial" w:eastAsia="Arial Unicode MS" w:hAnsi="Arial" w:cs="Arial"/>
          <w:b/>
          <w:color w:val="000000"/>
          <w:sz w:val="32"/>
          <w:szCs w:val="22"/>
        </w:rPr>
        <w:t xml:space="preserve"> COMMITMENTS</w:t>
      </w:r>
    </w:p>
    <w:p w:rsidR="00DC78E9" w:rsidRPr="00076CE1" w:rsidRDefault="00E56C9A" w:rsidP="00DC78E9">
      <w:pPr>
        <w:autoSpaceDE w:val="0"/>
        <w:autoSpaceDN w:val="0"/>
        <w:adjustRightInd w:val="0"/>
        <w:ind w:left="862"/>
        <w:jc w:val="both"/>
        <w:rPr>
          <w:rFonts w:ascii="Arial" w:eastAsia="Arial Unicode MS" w:hAnsi="Arial" w:cs="Arial"/>
          <w:color w:val="000000"/>
          <w:sz w:val="22"/>
          <w:szCs w:val="22"/>
        </w:rPr>
      </w:pPr>
    </w:p>
    <w:p w:rsidR="00DC78E9" w:rsidRPr="00076CE1" w:rsidRDefault="00E56C9A" w:rsidP="00DC78E9">
      <w:pPr>
        <w:tabs>
          <w:tab w:val="left" w:pos="709"/>
        </w:tabs>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As at 31 March 2017 t</w:t>
      </w:r>
      <w:r w:rsidRPr="00076CE1">
        <w:rPr>
          <w:rFonts w:ascii="Arial" w:eastAsia="Arial Unicode MS" w:hAnsi="Arial" w:cs="Arial"/>
          <w:color w:val="000000"/>
          <w:sz w:val="22"/>
          <w:szCs w:val="22"/>
        </w:rPr>
        <w:t xml:space="preserve">he commitments relating to outstanding call payments due to unquoted limited partnership funds held in the venture capital and infrastructure part of the portfolio totalled £743.8m (2016: £665.3m). The amounts 'called' by these funds are irregular in both </w:t>
      </w:r>
      <w:r w:rsidRPr="00076CE1">
        <w:rPr>
          <w:rFonts w:ascii="Arial" w:eastAsia="Arial Unicode MS" w:hAnsi="Arial" w:cs="Arial"/>
          <w:color w:val="000000"/>
          <w:sz w:val="22"/>
          <w:szCs w:val="22"/>
        </w:rPr>
        <w:t xml:space="preserve">size and timing and commitments to these partnerships are drawn down over a number of years.  The term of an individual investment can be up to 10 years.  Realisation of these investments in the form of </w:t>
      </w:r>
      <w:r w:rsidRPr="00076CE1">
        <w:rPr>
          <w:rFonts w:ascii="Arial" w:eastAsia="Arial Unicode MS" w:hAnsi="Arial" w:cs="Arial"/>
          <w:color w:val="000000"/>
          <w:sz w:val="22"/>
          <w:szCs w:val="22"/>
        </w:rPr>
        <w:lastRenderedPageBreak/>
        <w:t xml:space="preserve">distributions normally occurs towards the end of the </w:t>
      </w:r>
      <w:r w:rsidRPr="00076CE1">
        <w:rPr>
          <w:rFonts w:ascii="Arial" w:eastAsia="Arial Unicode MS" w:hAnsi="Arial" w:cs="Arial"/>
          <w:color w:val="000000"/>
          <w:sz w:val="22"/>
          <w:szCs w:val="22"/>
        </w:rPr>
        <w:t xml:space="preserve">investment period, when portfolio companies have built value and can be liquidated.  </w:t>
      </w:r>
    </w:p>
    <w:p w:rsidR="00DC78E9" w:rsidRPr="00076CE1" w:rsidRDefault="00E56C9A" w:rsidP="00DC78E9">
      <w:pPr>
        <w:tabs>
          <w:tab w:val="left" w:pos="709"/>
        </w:tabs>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tabs>
          <w:tab w:val="left" w:pos="709"/>
        </w:tabs>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Commitments to outstanding call payments due to certain credit strategies stood at </w:t>
      </w:r>
      <w:r w:rsidRPr="00076CE1">
        <w:rPr>
          <w:rFonts w:ascii="Arial" w:eastAsia="Arial Unicode MS" w:hAnsi="Arial" w:cs="Arial"/>
          <w:color w:val="000000"/>
          <w:sz w:val="22"/>
          <w:szCs w:val="22"/>
        </w:rPr>
        <w:t xml:space="preserve">£390.7m (2016: </w:t>
      </w:r>
      <w:r w:rsidRPr="00076CE1">
        <w:rPr>
          <w:rFonts w:ascii="Arial" w:eastAsia="Arial Unicode MS" w:hAnsi="Arial" w:cs="Arial"/>
          <w:color w:val="000000"/>
          <w:sz w:val="22"/>
          <w:szCs w:val="22"/>
        </w:rPr>
        <w:t>£497.2m</w:t>
      </w:r>
      <w:r w:rsidRPr="00076CE1">
        <w:rPr>
          <w:rFonts w:ascii="Arial" w:eastAsia="Arial Unicode MS" w:hAnsi="Arial" w:cs="Arial"/>
          <w:color w:val="000000"/>
          <w:sz w:val="22"/>
          <w:szCs w:val="22"/>
        </w:rPr>
        <w:t>)</w:t>
      </w:r>
      <w:r w:rsidRPr="00076CE1">
        <w:rPr>
          <w:rFonts w:ascii="Arial" w:eastAsia="Arial Unicode MS" w:hAnsi="Arial" w:cs="Arial"/>
          <w:color w:val="000000"/>
          <w:sz w:val="22"/>
          <w:szCs w:val="22"/>
        </w:rPr>
        <w:t>.  The majority of these amounts are expected to be called over</w:t>
      </w:r>
      <w:r w:rsidRPr="00076CE1">
        <w:rPr>
          <w:rFonts w:ascii="Arial" w:eastAsia="Arial Unicode MS" w:hAnsi="Arial" w:cs="Arial"/>
          <w:color w:val="000000"/>
          <w:sz w:val="22"/>
          <w:szCs w:val="22"/>
        </w:rPr>
        <w:t xml:space="preserve"> the coming two years and relate to various different investments including direct lending and distressed credit opportunities which are expected to begin repaying capital after 5 years.  In order to maintain a steady level of investment in the long term, </w:t>
      </w:r>
      <w:r w:rsidRPr="00076CE1">
        <w:rPr>
          <w:rFonts w:ascii="Arial" w:eastAsia="Arial Unicode MS" w:hAnsi="Arial" w:cs="Arial"/>
          <w:color w:val="000000"/>
          <w:sz w:val="22"/>
          <w:szCs w:val="22"/>
        </w:rPr>
        <w:t>the Fund will enter into further commitments to fund this type of strategy over the coming years.</w:t>
      </w:r>
    </w:p>
    <w:p w:rsidR="00DC78E9" w:rsidRPr="00076CE1" w:rsidRDefault="00E56C9A" w:rsidP="00DC78E9">
      <w:pPr>
        <w:tabs>
          <w:tab w:val="left" w:pos="709"/>
        </w:tabs>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The commitments on direct property development contracts relating to properties under construction held in the direct property part of the portfolio totalled</w:t>
      </w:r>
      <w:r w:rsidRPr="00076CE1">
        <w:rPr>
          <w:rFonts w:ascii="Arial" w:eastAsia="Arial Unicode MS" w:hAnsi="Arial" w:cs="Arial"/>
          <w:color w:val="000000"/>
          <w:sz w:val="22"/>
          <w:szCs w:val="22"/>
        </w:rPr>
        <w:t xml:space="preserve"> </w:t>
      </w:r>
      <w:r w:rsidRPr="00076CE1">
        <w:rPr>
          <w:rFonts w:ascii="Arial" w:eastAsia="Arial Unicode MS" w:hAnsi="Arial" w:cs="Arial"/>
          <w:color w:val="000000"/>
          <w:sz w:val="22"/>
          <w:szCs w:val="22"/>
        </w:rPr>
        <w:t xml:space="preserve">£24.6m (2016: </w:t>
      </w:r>
      <w:r w:rsidRPr="00076CE1">
        <w:rPr>
          <w:rFonts w:ascii="Arial" w:eastAsia="Arial Unicode MS" w:hAnsi="Arial" w:cs="Arial"/>
          <w:color w:val="000000"/>
          <w:sz w:val="22"/>
          <w:szCs w:val="22"/>
        </w:rPr>
        <w:t>£19.9m</w:t>
      </w:r>
      <w:r w:rsidRPr="00076CE1">
        <w:rPr>
          <w:rFonts w:ascii="Arial" w:eastAsia="Arial Unicode MS" w:hAnsi="Arial" w:cs="Arial"/>
          <w:color w:val="000000"/>
          <w:sz w:val="22"/>
          <w:szCs w:val="22"/>
        </w:rPr>
        <w:t>).</w:t>
      </w:r>
      <w:r w:rsidRPr="00076CE1">
        <w:rPr>
          <w:rFonts w:ascii="Arial" w:eastAsia="Arial Unicode MS" w:hAnsi="Arial" w:cs="Arial"/>
          <w:color w:val="000000"/>
          <w:sz w:val="22"/>
          <w:szCs w:val="22"/>
        </w:rPr>
        <w:t xml:space="preserve"> These amounts are expected to be drawn down over the next 12 months based on valuation certificates.</w:t>
      </w: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The commitment on indirect property </w:t>
      </w:r>
      <w:r w:rsidRPr="00076CE1">
        <w:rPr>
          <w:rFonts w:ascii="Arial" w:eastAsia="Arial Unicode MS" w:hAnsi="Arial" w:cs="Arial"/>
          <w:color w:val="000000"/>
          <w:sz w:val="22"/>
          <w:szCs w:val="22"/>
        </w:rPr>
        <w:t>of £0.6m (2016: £</w:t>
      </w:r>
      <w:r w:rsidRPr="00076CE1">
        <w:rPr>
          <w:rFonts w:ascii="Arial" w:eastAsia="Arial Unicode MS" w:hAnsi="Arial" w:cs="Arial"/>
          <w:color w:val="000000"/>
          <w:sz w:val="22"/>
          <w:szCs w:val="22"/>
        </w:rPr>
        <w:t>13.8m</w:t>
      </w:r>
      <w:r w:rsidRPr="00076CE1">
        <w:rPr>
          <w:rFonts w:ascii="Arial" w:eastAsia="Arial Unicode MS" w:hAnsi="Arial" w:cs="Arial"/>
          <w:color w:val="000000"/>
          <w:sz w:val="22"/>
          <w:szCs w:val="22"/>
        </w:rPr>
        <w:t>).</w:t>
      </w:r>
      <w:r w:rsidRPr="00076CE1">
        <w:rPr>
          <w:rFonts w:ascii="Arial" w:eastAsia="Arial Unicode MS" w:hAnsi="Arial" w:cs="Arial"/>
          <w:color w:val="000000"/>
          <w:sz w:val="22"/>
          <w:szCs w:val="22"/>
        </w:rPr>
        <w:t xml:space="preserve">  These amounts are expected to be drawn down over the next few months.</w:t>
      </w:r>
    </w:p>
    <w:p w:rsidR="00DC78E9" w:rsidRPr="00076CE1" w:rsidRDefault="00E56C9A" w:rsidP="00DC78E9">
      <w:pPr>
        <w:tabs>
          <w:tab w:val="left" w:pos="709"/>
        </w:tabs>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230076">
      <w:pPr>
        <w:autoSpaceDE w:val="0"/>
        <w:autoSpaceDN w:val="0"/>
        <w:adjustRightInd w:val="0"/>
        <w:jc w:val="both"/>
        <w:rPr>
          <w:rFonts w:ascii="Arial" w:eastAsia="Arial Unicode MS" w:hAnsi="Arial" w:cs="Arial"/>
          <w:color w:val="000000"/>
          <w:sz w:val="32"/>
          <w:szCs w:val="32"/>
        </w:rPr>
      </w:pPr>
      <w:r w:rsidRPr="00076CE1">
        <w:rPr>
          <w:rFonts w:ascii="Arial" w:eastAsia="Arial Unicode MS" w:hAnsi="Arial" w:cs="Arial"/>
          <w:b/>
          <w:color w:val="000000"/>
          <w:sz w:val="32"/>
          <w:szCs w:val="32"/>
        </w:rPr>
        <w:t>2</w:t>
      </w:r>
      <w:r>
        <w:rPr>
          <w:rFonts w:ascii="Arial" w:eastAsia="Arial Unicode MS" w:hAnsi="Arial" w:cs="Arial"/>
          <w:b/>
          <w:color w:val="000000"/>
          <w:sz w:val="32"/>
          <w:szCs w:val="32"/>
        </w:rPr>
        <w:t>3</w:t>
      </w:r>
      <w:r w:rsidRPr="00076CE1">
        <w:rPr>
          <w:rFonts w:ascii="Arial" w:eastAsia="Arial Unicode MS" w:hAnsi="Arial" w:cs="Arial"/>
          <w:b/>
          <w:color w:val="000000"/>
          <w:sz w:val="32"/>
          <w:szCs w:val="32"/>
        </w:rPr>
        <w:t>. RELATED</w:t>
      </w:r>
      <w:r w:rsidRPr="00076CE1">
        <w:rPr>
          <w:rFonts w:ascii="Arial" w:eastAsia="Arial Unicode MS" w:hAnsi="Arial" w:cs="Arial"/>
          <w:b/>
          <w:color w:val="000000"/>
          <w:sz w:val="32"/>
          <w:szCs w:val="32"/>
        </w:rPr>
        <w:t xml:space="preserve"> PARTY TRANSACTIONS</w:t>
      </w: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tabs>
          <w:tab w:val="left" w:pos="709"/>
        </w:tabs>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In accordance with IFRS, the financial statements must contain the disclosures necessary to draw attention to the possibility that the reported financi</w:t>
      </w:r>
      <w:r w:rsidRPr="00076CE1">
        <w:rPr>
          <w:rFonts w:ascii="Arial" w:eastAsia="Arial Unicode MS" w:hAnsi="Arial" w:cs="Arial"/>
          <w:color w:val="000000"/>
          <w:sz w:val="22"/>
          <w:szCs w:val="22"/>
        </w:rPr>
        <w:t xml:space="preserve">al position of the Pension Fund may have been affected by the existence of related parties and associated material transactions.  </w:t>
      </w:r>
    </w:p>
    <w:p w:rsidR="00DC78E9" w:rsidRPr="00076CE1" w:rsidRDefault="00E56C9A" w:rsidP="00DC78E9">
      <w:pPr>
        <w:tabs>
          <w:tab w:val="left" w:pos="709"/>
        </w:tabs>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tabs>
          <w:tab w:val="left" w:pos="709"/>
        </w:tabs>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t>There are three</w:t>
      </w:r>
      <w:r w:rsidRPr="00076CE1">
        <w:rPr>
          <w:rFonts w:ascii="Arial" w:eastAsia="Arial Unicode MS" w:hAnsi="Arial" w:cs="Arial"/>
          <w:color w:val="000000"/>
          <w:sz w:val="22"/>
          <w:szCs w:val="22"/>
        </w:rPr>
        <w:t xml:space="preserve"> groups of related parties; transactions between Lancashire County Council as administering authority and the</w:t>
      </w:r>
      <w:r w:rsidRPr="00076CE1">
        <w:rPr>
          <w:rFonts w:ascii="Arial" w:eastAsia="Arial Unicode MS" w:hAnsi="Arial" w:cs="Arial"/>
          <w:color w:val="000000"/>
          <w:sz w:val="22"/>
          <w:szCs w:val="22"/>
        </w:rPr>
        <w:t xml:space="preserve"> Fund</w:t>
      </w:r>
      <w:r w:rsidRPr="00076CE1">
        <w:rPr>
          <w:rFonts w:ascii="Arial" w:eastAsia="Arial Unicode MS" w:hAnsi="Arial" w:cs="Arial"/>
          <w:color w:val="000000"/>
          <w:sz w:val="22"/>
          <w:szCs w:val="22"/>
        </w:rPr>
        <w:t>;</w:t>
      </w:r>
      <w:r w:rsidRPr="00076CE1">
        <w:rPr>
          <w:rFonts w:ascii="Arial" w:eastAsia="Arial Unicode MS" w:hAnsi="Arial" w:cs="Arial"/>
          <w:color w:val="000000"/>
          <w:sz w:val="22"/>
          <w:szCs w:val="22"/>
        </w:rPr>
        <w:t xml:space="preserve"> between employers within the Fund and the Fund; and between members and senior officers and the Fund.</w:t>
      </w:r>
    </w:p>
    <w:p w:rsidR="00DC78E9" w:rsidRPr="00076CE1" w:rsidRDefault="00E56C9A" w:rsidP="00DC78E9">
      <w:pPr>
        <w:tabs>
          <w:tab w:val="left" w:pos="709"/>
        </w:tabs>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b/>
          <w:color w:val="000000"/>
          <w:sz w:val="32"/>
          <w:szCs w:val="32"/>
        </w:rPr>
      </w:pPr>
      <w:r w:rsidRPr="00076CE1">
        <w:rPr>
          <w:rFonts w:ascii="Arial" w:eastAsia="Arial Unicode MS" w:hAnsi="Arial" w:cs="Arial"/>
          <w:b/>
          <w:color w:val="000000"/>
          <w:sz w:val="32"/>
          <w:szCs w:val="32"/>
        </w:rPr>
        <w:t>2</w:t>
      </w:r>
      <w:r>
        <w:rPr>
          <w:rFonts w:ascii="Arial" w:eastAsia="Arial Unicode MS" w:hAnsi="Arial" w:cs="Arial"/>
          <w:b/>
          <w:color w:val="000000"/>
          <w:sz w:val="32"/>
          <w:szCs w:val="32"/>
        </w:rPr>
        <w:t>3</w:t>
      </w:r>
      <w:r w:rsidRPr="00076CE1">
        <w:rPr>
          <w:rFonts w:ascii="Arial" w:eastAsia="Arial Unicode MS" w:hAnsi="Arial" w:cs="Arial"/>
          <w:b/>
          <w:color w:val="000000"/>
          <w:sz w:val="32"/>
          <w:szCs w:val="32"/>
        </w:rPr>
        <w:t>.1 Lancashire County Council</w:t>
      </w:r>
    </w:p>
    <w:p w:rsidR="00DC78E9" w:rsidRPr="00076CE1" w:rsidRDefault="00E56C9A" w:rsidP="00DC78E9">
      <w:pPr>
        <w:autoSpaceDE w:val="0"/>
        <w:autoSpaceDN w:val="0"/>
        <w:adjustRightInd w:val="0"/>
        <w:ind w:left="709"/>
        <w:jc w:val="both"/>
        <w:rPr>
          <w:rFonts w:ascii="Arial" w:eastAsia="Arial Unicode MS" w:hAnsi="Arial" w:cs="Arial"/>
          <w:b/>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The Lancashire County Pension Fund is administered by Lancashire County Council. Consequently, there is a strong </w:t>
      </w:r>
      <w:r w:rsidRPr="00076CE1">
        <w:rPr>
          <w:rFonts w:ascii="Arial" w:eastAsia="Arial Unicode MS" w:hAnsi="Arial" w:cs="Arial"/>
          <w:color w:val="000000"/>
          <w:sz w:val="22"/>
          <w:szCs w:val="22"/>
        </w:rPr>
        <w:t>relationship between the Council and the Pension Fund.</w:t>
      </w: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p w:rsidR="00846083" w:rsidRDefault="00E56C9A" w:rsidP="00846083">
      <w:pPr>
        <w:autoSpaceDE w:val="0"/>
        <w:autoSpaceDN w:val="0"/>
        <w:adjustRightInd w:val="0"/>
        <w:jc w:val="both"/>
        <w:rPr>
          <w:rFonts w:ascii="Arial" w:eastAsia="Arial Unicode MS" w:hAnsi="Arial" w:cs="Arial"/>
          <w:color w:val="000000"/>
          <w:sz w:val="22"/>
          <w:szCs w:val="22"/>
          <w:highlight w:val="yellow"/>
        </w:rPr>
      </w:pPr>
      <w:r w:rsidRPr="001F643F">
        <w:rPr>
          <w:rFonts w:ascii="Arial" w:eastAsia="Arial Unicode MS" w:hAnsi="Arial" w:cs="Arial"/>
          <w:color w:val="000000"/>
          <w:sz w:val="22"/>
          <w:szCs w:val="22"/>
        </w:rPr>
        <w:t xml:space="preserve">The Council incurred costs of £0.4 m (2015/16: £3.7m) in relation to the administration of the Fund.  This includes a proportion of relevant officers' salaries in respect of time allocated to pension </w:t>
      </w:r>
      <w:r w:rsidRPr="001F643F">
        <w:rPr>
          <w:rFonts w:ascii="Arial" w:eastAsia="Arial Unicode MS" w:hAnsi="Arial" w:cs="Arial"/>
          <w:color w:val="000000"/>
          <w:sz w:val="22"/>
          <w:szCs w:val="22"/>
        </w:rPr>
        <w:t>and investment issues.  The Council was subsequently reimbursed by the Fund for these expenses.</w:t>
      </w:r>
    </w:p>
    <w:p w:rsidR="00846083" w:rsidRPr="00EC59F1" w:rsidRDefault="00E56C9A" w:rsidP="00846083">
      <w:pPr>
        <w:autoSpaceDE w:val="0"/>
        <w:autoSpaceDN w:val="0"/>
        <w:adjustRightInd w:val="0"/>
        <w:jc w:val="both"/>
        <w:rPr>
          <w:rFonts w:ascii="Arial" w:eastAsia="Arial Unicode MS" w:hAnsi="Arial" w:cs="Arial"/>
          <w:color w:val="000000"/>
          <w:sz w:val="22"/>
          <w:szCs w:val="22"/>
          <w:highlight w:val="yellow"/>
        </w:rPr>
      </w:pPr>
    </w:p>
    <w:p w:rsidR="00846083" w:rsidRPr="001F643F" w:rsidRDefault="00E56C9A" w:rsidP="00846083">
      <w:pPr>
        <w:autoSpaceDE w:val="0"/>
        <w:autoSpaceDN w:val="0"/>
        <w:adjustRightInd w:val="0"/>
        <w:jc w:val="both"/>
        <w:rPr>
          <w:rFonts w:ascii="Arial" w:eastAsia="Arial Unicode MS" w:hAnsi="Arial" w:cs="Arial"/>
          <w:color w:val="000000"/>
          <w:sz w:val="22"/>
          <w:szCs w:val="22"/>
        </w:rPr>
      </w:pPr>
      <w:r w:rsidRPr="001F643F">
        <w:rPr>
          <w:rFonts w:ascii="Arial" w:eastAsia="Arial Unicode MS" w:hAnsi="Arial" w:cs="Arial"/>
          <w:color w:val="000000"/>
          <w:sz w:val="22"/>
          <w:szCs w:val="22"/>
        </w:rPr>
        <w:t>The Council is also the single largest employer of the members of the Pension Fund and contributed £87.0m to the fund in 2016/17 (2015/16: £81.4m).  All monies</w:t>
      </w:r>
      <w:r w:rsidRPr="001F643F">
        <w:rPr>
          <w:rFonts w:ascii="Arial" w:eastAsia="Arial Unicode MS" w:hAnsi="Arial" w:cs="Arial"/>
          <w:color w:val="000000"/>
          <w:sz w:val="22"/>
          <w:szCs w:val="22"/>
        </w:rPr>
        <w:t xml:space="preserve"> owing to and due from the Fund were paid in year.</w:t>
      </w:r>
    </w:p>
    <w:p w:rsidR="00933D3F" w:rsidRPr="00EC59F1" w:rsidRDefault="00E56C9A" w:rsidP="00DC78E9">
      <w:pPr>
        <w:autoSpaceDE w:val="0"/>
        <w:autoSpaceDN w:val="0"/>
        <w:adjustRightInd w:val="0"/>
        <w:jc w:val="both"/>
        <w:rPr>
          <w:rFonts w:ascii="Arial" w:eastAsia="Arial Unicode MS" w:hAnsi="Arial" w:cs="Arial"/>
          <w:color w:val="000000"/>
          <w:sz w:val="22"/>
          <w:szCs w:val="22"/>
          <w:highlight w:val="yellow"/>
        </w:rPr>
      </w:pPr>
    </w:p>
    <w:p w:rsidR="00933D3F" w:rsidRPr="00076CE1" w:rsidRDefault="00E56C9A" w:rsidP="00DC78E9">
      <w:pPr>
        <w:autoSpaceDE w:val="0"/>
        <w:autoSpaceDN w:val="0"/>
        <w:adjustRightInd w:val="0"/>
        <w:jc w:val="both"/>
        <w:rPr>
          <w:rFonts w:ascii="Arial" w:eastAsia="Arial Unicode MS" w:hAnsi="Arial" w:cs="Arial"/>
          <w:color w:val="000000"/>
          <w:sz w:val="22"/>
          <w:szCs w:val="22"/>
        </w:rPr>
      </w:pPr>
      <w:r w:rsidRPr="001F5D26">
        <w:rPr>
          <w:rFonts w:ascii="Arial" w:eastAsia="Arial Unicode MS" w:hAnsi="Arial" w:cs="Arial"/>
          <w:color w:val="000000"/>
          <w:sz w:val="22"/>
          <w:szCs w:val="22"/>
        </w:rPr>
        <w:t>Lancashire County Council is a shareholder in the Local Pensions Partnership (LPP), having an ownership in the company equal to that of the London Pension Fund Authority.  LPP manages the investment and a</w:t>
      </w:r>
      <w:r w:rsidRPr="001F5D26">
        <w:rPr>
          <w:rFonts w:ascii="Arial" w:eastAsia="Arial Unicode MS" w:hAnsi="Arial" w:cs="Arial"/>
          <w:color w:val="000000"/>
          <w:sz w:val="22"/>
          <w:szCs w:val="22"/>
        </w:rPr>
        <w:t>dmini</w:t>
      </w:r>
      <w:r w:rsidRPr="00F615E2">
        <w:rPr>
          <w:rFonts w:ascii="Arial" w:eastAsia="Arial Unicode MS" w:hAnsi="Arial" w:cs="Arial"/>
          <w:color w:val="000000"/>
          <w:sz w:val="22"/>
          <w:szCs w:val="22"/>
        </w:rPr>
        <w:t xml:space="preserve">stration functions of the Fund and the Fund makes regular payments to LPP to cover investment management charges, scheme administration expenses, employer risk services and </w:t>
      </w:r>
      <w:r w:rsidRPr="00F615E2">
        <w:rPr>
          <w:rFonts w:ascii="Arial" w:eastAsia="Arial Unicode MS" w:hAnsi="Arial" w:cs="Arial"/>
          <w:color w:val="000000"/>
          <w:sz w:val="22"/>
          <w:szCs w:val="22"/>
        </w:rPr>
        <w:t>liability</w:t>
      </w:r>
      <w:r w:rsidRPr="00F615E2">
        <w:rPr>
          <w:rFonts w:ascii="Arial" w:eastAsia="Arial Unicode MS" w:hAnsi="Arial" w:cs="Arial"/>
          <w:color w:val="000000"/>
          <w:sz w:val="22"/>
          <w:szCs w:val="22"/>
        </w:rPr>
        <w:t xml:space="preserve"> modelling.  Payments made for the year to 31 March 2017 amount to £8</w:t>
      </w:r>
      <w:r w:rsidRPr="00F615E2">
        <w:rPr>
          <w:rFonts w:ascii="Arial" w:eastAsia="Arial Unicode MS" w:hAnsi="Arial" w:cs="Arial"/>
          <w:color w:val="000000"/>
          <w:sz w:val="22"/>
          <w:szCs w:val="22"/>
        </w:rPr>
        <w:t>.2m (2</w:t>
      </w:r>
      <w:r w:rsidRPr="001F5D26">
        <w:rPr>
          <w:rFonts w:ascii="Arial" w:eastAsia="Arial Unicode MS" w:hAnsi="Arial" w:cs="Arial"/>
          <w:color w:val="000000"/>
          <w:sz w:val="22"/>
          <w:szCs w:val="22"/>
        </w:rPr>
        <w:t>015/16: nil).</w:t>
      </w: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p>
    <w:p w:rsidR="00D62AE9" w:rsidRPr="00076CE1" w:rsidRDefault="00E56C9A" w:rsidP="00DC78E9">
      <w:pPr>
        <w:autoSpaceDE w:val="0"/>
        <w:autoSpaceDN w:val="0"/>
        <w:adjustRightInd w:val="0"/>
        <w:jc w:val="both"/>
        <w:rPr>
          <w:rFonts w:ascii="Arial" w:eastAsia="Arial Unicode MS" w:hAnsi="Arial" w:cs="Arial"/>
          <w:b/>
          <w:color w:val="000000"/>
          <w:sz w:val="32"/>
          <w:szCs w:val="32"/>
        </w:rPr>
      </w:pPr>
    </w:p>
    <w:p w:rsidR="00DC78E9" w:rsidRPr="00076CE1" w:rsidRDefault="00E56C9A" w:rsidP="00DC78E9">
      <w:pPr>
        <w:autoSpaceDE w:val="0"/>
        <w:autoSpaceDN w:val="0"/>
        <w:adjustRightInd w:val="0"/>
        <w:jc w:val="both"/>
        <w:rPr>
          <w:rFonts w:ascii="Arial" w:eastAsia="Arial Unicode MS" w:hAnsi="Arial" w:cs="Arial"/>
          <w:b/>
          <w:color w:val="000000"/>
          <w:sz w:val="32"/>
          <w:szCs w:val="32"/>
        </w:rPr>
      </w:pPr>
      <w:r w:rsidRPr="00076CE1">
        <w:rPr>
          <w:rFonts w:ascii="Arial" w:eastAsia="Arial Unicode MS" w:hAnsi="Arial" w:cs="Arial"/>
          <w:b/>
          <w:color w:val="000000"/>
          <w:sz w:val="32"/>
          <w:szCs w:val="32"/>
        </w:rPr>
        <w:t>2</w:t>
      </w:r>
      <w:r>
        <w:rPr>
          <w:rFonts w:ascii="Arial" w:eastAsia="Arial Unicode MS" w:hAnsi="Arial" w:cs="Arial"/>
          <w:b/>
          <w:color w:val="000000"/>
          <w:sz w:val="32"/>
          <w:szCs w:val="32"/>
        </w:rPr>
        <w:t>3</w:t>
      </w:r>
      <w:r w:rsidRPr="00076CE1">
        <w:rPr>
          <w:rFonts w:ascii="Arial" w:eastAsia="Arial Unicode MS" w:hAnsi="Arial" w:cs="Arial"/>
          <w:b/>
          <w:color w:val="000000"/>
          <w:sz w:val="32"/>
          <w:szCs w:val="32"/>
        </w:rPr>
        <w:t>.</w:t>
      </w:r>
      <w:r>
        <w:rPr>
          <w:rFonts w:ascii="Arial" w:eastAsia="Arial Unicode MS" w:hAnsi="Arial" w:cs="Arial"/>
          <w:b/>
          <w:color w:val="000000"/>
          <w:sz w:val="32"/>
          <w:szCs w:val="32"/>
        </w:rPr>
        <w:t>2</w:t>
      </w:r>
      <w:r w:rsidRPr="00076CE1">
        <w:rPr>
          <w:rFonts w:ascii="Arial" w:eastAsia="Arial Unicode MS" w:hAnsi="Arial" w:cs="Arial"/>
          <w:b/>
          <w:color w:val="000000"/>
          <w:sz w:val="32"/>
          <w:szCs w:val="32"/>
        </w:rPr>
        <w:t xml:space="preserve"> Employers within the Fund</w:t>
      </w:r>
    </w:p>
    <w:p w:rsidR="00DC78E9" w:rsidRDefault="00E56C9A" w:rsidP="00DC78E9">
      <w:pPr>
        <w:tabs>
          <w:tab w:val="left" w:pos="709"/>
        </w:tabs>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Employers are related parties in so far as they pay contributions to the Fund in accordance with the appropriate Local Government Pension Scheme Regulations (LGPS).  Contributions for the year are shown in note </w:t>
      </w:r>
      <w:r>
        <w:rPr>
          <w:rFonts w:ascii="Arial" w:eastAsia="Arial Unicode MS" w:hAnsi="Arial" w:cs="Arial"/>
          <w:color w:val="000000"/>
          <w:sz w:val="22"/>
          <w:szCs w:val="22"/>
        </w:rPr>
        <w:t>6</w:t>
      </w:r>
      <w:r w:rsidRPr="00076CE1">
        <w:rPr>
          <w:rFonts w:ascii="Arial" w:eastAsia="Arial Unicode MS" w:hAnsi="Arial" w:cs="Arial"/>
          <w:color w:val="000000"/>
          <w:sz w:val="22"/>
          <w:szCs w:val="22"/>
        </w:rPr>
        <w:t xml:space="preserve"> </w:t>
      </w:r>
      <w:r w:rsidRPr="00076CE1">
        <w:rPr>
          <w:rFonts w:ascii="Arial" w:eastAsia="Arial Unicode MS" w:hAnsi="Arial" w:cs="Arial"/>
          <w:color w:val="000000"/>
          <w:sz w:val="22"/>
          <w:szCs w:val="22"/>
        </w:rPr>
        <w:t>and in respect of March 201</w:t>
      </w:r>
      <w:r w:rsidRPr="00076CE1">
        <w:rPr>
          <w:rFonts w:ascii="Arial" w:eastAsia="Arial Unicode MS" w:hAnsi="Arial" w:cs="Arial"/>
          <w:color w:val="000000"/>
          <w:sz w:val="22"/>
          <w:szCs w:val="22"/>
        </w:rPr>
        <w:t>7</w:t>
      </w:r>
      <w:r w:rsidRPr="00076CE1">
        <w:rPr>
          <w:rFonts w:ascii="Arial" w:eastAsia="Arial Unicode MS" w:hAnsi="Arial" w:cs="Arial"/>
          <w:color w:val="000000"/>
          <w:sz w:val="22"/>
          <w:szCs w:val="22"/>
        </w:rPr>
        <w:t xml:space="preserve"> payroll, are i</w:t>
      </w:r>
      <w:r w:rsidRPr="00076CE1">
        <w:rPr>
          <w:rFonts w:ascii="Arial" w:eastAsia="Arial Unicode MS" w:hAnsi="Arial" w:cs="Arial"/>
          <w:color w:val="000000"/>
          <w:sz w:val="22"/>
          <w:szCs w:val="22"/>
        </w:rPr>
        <w:t xml:space="preserve">ncluded within the debtors figure in note </w:t>
      </w:r>
      <w:r w:rsidRPr="00076CE1">
        <w:rPr>
          <w:rFonts w:ascii="Arial" w:eastAsia="Arial Unicode MS" w:hAnsi="Arial" w:cs="Arial"/>
          <w:color w:val="000000"/>
          <w:sz w:val="22"/>
          <w:szCs w:val="22"/>
        </w:rPr>
        <w:t>2</w:t>
      </w:r>
      <w:r>
        <w:rPr>
          <w:rFonts w:ascii="Arial" w:eastAsia="Arial Unicode MS" w:hAnsi="Arial" w:cs="Arial"/>
          <w:color w:val="000000"/>
          <w:sz w:val="22"/>
          <w:szCs w:val="22"/>
        </w:rPr>
        <w:t>0</w:t>
      </w:r>
      <w:r w:rsidRPr="00076CE1">
        <w:rPr>
          <w:rFonts w:ascii="Arial" w:eastAsia="Arial Unicode MS" w:hAnsi="Arial" w:cs="Arial"/>
          <w:color w:val="000000"/>
          <w:sz w:val="22"/>
          <w:szCs w:val="22"/>
        </w:rPr>
        <w:t>.</w:t>
      </w:r>
    </w:p>
    <w:p w:rsidR="00933D3F" w:rsidRPr="00076CE1" w:rsidRDefault="00E56C9A" w:rsidP="00DC78E9">
      <w:pPr>
        <w:tabs>
          <w:tab w:val="left" w:pos="709"/>
        </w:tabs>
        <w:autoSpaceDE w:val="0"/>
        <w:autoSpaceDN w:val="0"/>
        <w:adjustRightInd w:val="0"/>
        <w:jc w:val="both"/>
        <w:rPr>
          <w:rFonts w:ascii="Arial" w:eastAsia="Arial Unicode MS" w:hAnsi="Arial" w:cs="Arial"/>
          <w:color w:val="000000"/>
          <w:sz w:val="22"/>
          <w:szCs w:val="22"/>
        </w:rPr>
      </w:pPr>
    </w:p>
    <w:p w:rsidR="00DC78E9" w:rsidRPr="00076CE1" w:rsidRDefault="00E56C9A" w:rsidP="00DC78E9">
      <w:pPr>
        <w:tabs>
          <w:tab w:val="left" w:pos="709"/>
        </w:tabs>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b/>
          <w:color w:val="000000"/>
          <w:sz w:val="32"/>
          <w:szCs w:val="32"/>
        </w:rPr>
      </w:pPr>
      <w:r w:rsidRPr="00076CE1">
        <w:rPr>
          <w:rFonts w:ascii="Arial" w:eastAsia="Arial Unicode MS" w:hAnsi="Arial" w:cs="Arial"/>
          <w:b/>
          <w:color w:val="000000"/>
          <w:sz w:val="32"/>
          <w:szCs w:val="32"/>
        </w:rPr>
        <w:t>2</w:t>
      </w:r>
      <w:r>
        <w:rPr>
          <w:rFonts w:ascii="Arial" w:eastAsia="Arial Unicode MS" w:hAnsi="Arial" w:cs="Arial"/>
          <w:b/>
          <w:color w:val="000000"/>
          <w:sz w:val="32"/>
          <w:szCs w:val="32"/>
        </w:rPr>
        <w:t>3</w:t>
      </w:r>
      <w:r w:rsidRPr="00076CE1">
        <w:rPr>
          <w:rFonts w:ascii="Arial" w:eastAsia="Arial Unicode MS" w:hAnsi="Arial" w:cs="Arial"/>
          <w:b/>
          <w:color w:val="000000"/>
          <w:sz w:val="32"/>
          <w:szCs w:val="32"/>
        </w:rPr>
        <w:t>.</w:t>
      </w:r>
      <w:r>
        <w:rPr>
          <w:rFonts w:ascii="Arial" w:eastAsia="Arial Unicode MS" w:hAnsi="Arial" w:cs="Arial"/>
          <w:b/>
          <w:color w:val="000000"/>
          <w:sz w:val="32"/>
          <w:szCs w:val="32"/>
        </w:rPr>
        <w:t>3</w:t>
      </w:r>
      <w:r w:rsidRPr="00076CE1">
        <w:rPr>
          <w:rFonts w:ascii="Arial" w:eastAsia="Arial Unicode MS" w:hAnsi="Arial" w:cs="Arial"/>
          <w:b/>
          <w:color w:val="000000"/>
          <w:sz w:val="32"/>
          <w:szCs w:val="32"/>
        </w:rPr>
        <w:t xml:space="preserve"> Pension Fund Committee, Pensions Board and Senior Officers.</w:t>
      </w:r>
    </w:p>
    <w:p w:rsidR="00DC78E9" w:rsidRPr="00076CE1" w:rsidRDefault="00E56C9A" w:rsidP="00DC78E9">
      <w:pPr>
        <w:tabs>
          <w:tab w:val="left" w:pos="709"/>
        </w:tabs>
        <w:autoSpaceDE w:val="0"/>
        <w:autoSpaceDN w:val="0"/>
        <w:adjustRightInd w:val="0"/>
        <w:ind w:left="709"/>
        <w:jc w:val="both"/>
        <w:rPr>
          <w:rFonts w:ascii="Arial" w:eastAsia="Arial Unicode MS" w:hAnsi="Arial" w:cs="Arial"/>
          <w:b/>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The Pension Fund Committee, Pensions Board members and senior officers of the Pension Fund were asked to complete a related party declaration </w:t>
      </w:r>
      <w:r w:rsidRPr="00076CE1">
        <w:rPr>
          <w:rFonts w:ascii="Arial" w:eastAsia="Arial Unicode MS" w:hAnsi="Arial" w:cs="Arial"/>
          <w:color w:val="000000"/>
          <w:sz w:val="22"/>
          <w:szCs w:val="22"/>
        </w:rPr>
        <w:t>for 2016/17 regarding membership of, and transactions with such persons or their related parties</w:t>
      </w:r>
      <w:r w:rsidRPr="00076CE1">
        <w:rPr>
          <w:rFonts w:ascii="Arial" w:eastAsia="Arial Unicode MS" w:hAnsi="Arial" w:cs="Arial"/>
          <w:color w:val="000000"/>
          <w:sz w:val="22"/>
          <w:szCs w:val="22"/>
        </w:rPr>
        <w:t xml:space="preserve">. No related party transactions were </w:t>
      </w:r>
      <w:r>
        <w:rPr>
          <w:rFonts w:ascii="Arial" w:eastAsia="Arial Unicode MS" w:hAnsi="Arial" w:cs="Arial"/>
          <w:color w:val="000000"/>
          <w:sz w:val="22"/>
          <w:szCs w:val="22"/>
        </w:rPr>
        <w:t>identified during the year to 31 March 2017.</w:t>
      </w:r>
    </w:p>
    <w:p w:rsidR="00DC78E9"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Each member of the Pension Fund Committee and Pension Board formally considers</w:t>
      </w:r>
      <w:r w:rsidRPr="00076CE1">
        <w:rPr>
          <w:rFonts w:ascii="Arial" w:eastAsia="Arial Unicode MS" w:hAnsi="Arial" w:cs="Arial"/>
          <w:color w:val="000000"/>
          <w:sz w:val="22"/>
          <w:szCs w:val="22"/>
        </w:rPr>
        <w:t xml:space="preserve"> conflicts of interest at each meeting.</w:t>
      </w:r>
    </w:p>
    <w:p w:rsidR="00933D3F" w:rsidRPr="00076CE1" w:rsidRDefault="00E56C9A" w:rsidP="00DC78E9">
      <w:pPr>
        <w:autoSpaceDE w:val="0"/>
        <w:autoSpaceDN w:val="0"/>
        <w:adjustRightInd w:val="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p>
    <w:p w:rsidR="00F972C7" w:rsidRPr="00076CE1" w:rsidRDefault="00E56C9A" w:rsidP="00230076">
      <w:pPr>
        <w:widowControl w:val="0"/>
        <w:suppressAutoHyphens/>
        <w:autoSpaceDE w:val="0"/>
        <w:autoSpaceDN w:val="0"/>
        <w:adjustRightInd w:val="0"/>
        <w:contextualSpacing/>
        <w:jc w:val="both"/>
        <w:rPr>
          <w:rFonts w:ascii="Arial" w:eastAsia="Arial Unicode MS" w:hAnsi="Arial" w:cs="Arial"/>
          <w:b/>
          <w:color w:val="000000"/>
          <w:sz w:val="32"/>
          <w:szCs w:val="22"/>
        </w:rPr>
      </w:pPr>
      <w:r w:rsidRPr="00076CE1">
        <w:rPr>
          <w:rFonts w:ascii="Arial" w:eastAsia="Arial Unicode MS" w:hAnsi="Arial" w:cs="Arial"/>
          <w:b/>
          <w:color w:val="000000"/>
          <w:sz w:val="32"/>
          <w:szCs w:val="32"/>
        </w:rPr>
        <w:t>2</w:t>
      </w:r>
      <w:r>
        <w:rPr>
          <w:rFonts w:ascii="Arial" w:eastAsia="Arial Unicode MS" w:hAnsi="Arial" w:cs="Arial"/>
          <w:b/>
          <w:color w:val="000000"/>
          <w:sz w:val="32"/>
          <w:szCs w:val="32"/>
        </w:rPr>
        <w:t>4</w:t>
      </w:r>
      <w:r w:rsidRPr="00076CE1">
        <w:rPr>
          <w:rFonts w:ascii="Arial" w:eastAsia="Arial Unicode MS" w:hAnsi="Arial" w:cs="Arial"/>
          <w:b/>
          <w:color w:val="000000"/>
          <w:sz w:val="32"/>
          <w:szCs w:val="32"/>
        </w:rPr>
        <w:t>.</w:t>
      </w:r>
      <w:r w:rsidRPr="00076CE1">
        <w:rPr>
          <w:rFonts w:ascii="Arial" w:eastAsia="Arial Unicode MS" w:hAnsi="Arial" w:cs="Arial"/>
          <w:b/>
          <w:color w:val="000000"/>
          <w:sz w:val="32"/>
          <w:szCs w:val="32"/>
        </w:rPr>
        <w:t xml:space="preserve"> </w:t>
      </w:r>
      <w:r w:rsidRPr="00076CE1">
        <w:rPr>
          <w:rFonts w:ascii="Arial" w:eastAsia="Arial Unicode MS" w:hAnsi="Arial" w:cs="Arial"/>
          <w:b/>
          <w:color w:val="000000"/>
          <w:sz w:val="32"/>
          <w:szCs w:val="32"/>
        </w:rPr>
        <w:t xml:space="preserve"> </w:t>
      </w:r>
      <w:r w:rsidRPr="00076CE1">
        <w:rPr>
          <w:rFonts w:ascii="Arial" w:eastAsia="Arial Unicode MS" w:hAnsi="Arial" w:cs="Arial"/>
          <w:b/>
          <w:color w:val="000000"/>
          <w:sz w:val="32"/>
          <w:szCs w:val="22"/>
        </w:rPr>
        <w:t>KEY MANAGEMENT PERSONNEL</w:t>
      </w:r>
    </w:p>
    <w:p w:rsidR="00DC78E9" w:rsidRPr="00076CE1" w:rsidRDefault="00E56C9A" w:rsidP="00DC78E9">
      <w:pPr>
        <w:autoSpaceDE w:val="0"/>
        <w:autoSpaceDN w:val="0"/>
        <w:adjustRightInd w:val="0"/>
        <w:ind w:left="709"/>
        <w:jc w:val="both"/>
        <w:rPr>
          <w:rFonts w:ascii="Arial" w:eastAsia="Arial Unicode MS" w:hAnsi="Arial" w:cs="Arial"/>
          <w:b/>
          <w:color w:val="000000"/>
          <w:sz w:val="22"/>
          <w:szCs w:val="22"/>
        </w:rPr>
      </w:pPr>
    </w:p>
    <w:p w:rsidR="002977B9" w:rsidRPr="00076CE1" w:rsidRDefault="00E56C9A" w:rsidP="00DC78E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22"/>
          <w:szCs w:val="22"/>
        </w:rPr>
        <w:t xml:space="preserve">The key management personnel of the Fund are the Lancashire County Council Director of Financial Resources and the Head of Fund.  Total remuneration payable to key management </w:t>
      </w:r>
      <w:r w:rsidRPr="00076CE1">
        <w:rPr>
          <w:rFonts w:ascii="Arial" w:eastAsia="Arial Unicode MS" w:hAnsi="Arial" w:cs="Arial"/>
          <w:color w:val="000000"/>
          <w:sz w:val="22"/>
          <w:szCs w:val="22"/>
        </w:rPr>
        <w:t>personnel is set out below:</w:t>
      </w:r>
    </w:p>
    <w:p w:rsidR="002977B9" w:rsidRPr="00076CE1" w:rsidRDefault="00E56C9A" w:rsidP="00DC78E9">
      <w:pPr>
        <w:autoSpaceDE w:val="0"/>
        <w:autoSpaceDN w:val="0"/>
        <w:adjustRightInd w:val="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ind w:left="709"/>
        <w:jc w:val="both"/>
        <w:rPr>
          <w:rFonts w:ascii="Arial" w:eastAsia="Arial Unicode MS" w:hAnsi="Arial" w:cs="Arial"/>
          <w:color w:val="000000"/>
          <w:sz w:val="22"/>
          <w:szCs w:val="22"/>
        </w:rPr>
      </w:pP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sectPr w:rsidR="00DC78E9" w:rsidRPr="00076CE1" w:rsidSect="00105290">
          <w:headerReference w:type="default" r:id="rId10"/>
          <w:footerReference w:type="default" r:id="rId11"/>
          <w:pgSz w:w="11900" w:h="16840" w:code="9"/>
          <w:pgMar w:top="1440" w:right="1111" w:bottom="1440" w:left="1191" w:header="567" w:footer="567" w:gutter="0"/>
          <w:cols w:space="292"/>
          <w:docGrid w:linePitch="326"/>
        </w:sectPr>
      </w:pP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tbl>
      <w:tblPr>
        <w:tblStyle w:val="TableGrid2"/>
        <w:tblW w:w="15168"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954"/>
        <w:gridCol w:w="2303"/>
        <w:gridCol w:w="2304"/>
        <w:gridCol w:w="2303"/>
        <w:gridCol w:w="2304"/>
      </w:tblGrid>
      <w:tr w:rsidR="00B368D6" w:rsidTr="00105290">
        <w:trPr>
          <w:trHeight w:val="431"/>
        </w:trPr>
        <w:tc>
          <w:tcPr>
            <w:tcW w:w="5954" w:type="dxa"/>
            <w:tcBorders>
              <w:bottom w:val="nil"/>
            </w:tcBorders>
            <w:shd w:val="clear" w:color="auto" w:fill="E7E6E6" w:themeFill="background2"/>
          </w:tcPr>
          <w:p w:rsidR="00DC78E9" w:rsidRPr="00076CE1" w:rsidRDefault="00E56C9A" w:rsidP="00105290">
            <w:pPr>
              <w:autoSpaceDE w:val="0"/>
              <w:autoSpaceDN w:val="0"/>
              <w:adjustRightInd w:val="0"/>
              <w:jc w:val="both"/>
              <w:rPr>
                <w:rFonts w:ascii="Arial" w:eastAsia="Arial Unicode MS" w:hAnsi="Arial" w:cs="Arial"/>
                <w:b/>
                <w:color w:val="000000"/>
                <w:sz w:val="20"/>
                <w:szCs w:val="22"/>
              </w:rPr>
            </w:pPr>
            <w:r w:rsidRPr="00076CE1">
              <w:rPr>
                <w:rFonts w:ascii="Arial" w:eastAsia="Arial Unicode MS" w:hAnsi="Arial" w:cs="Arial"/>
                <w:b/>
                <w:color w:val="000000"/>
                <w:sz w:val="20"/>
                <w:szCs w:val="22"/>
              </w:rPr>
              <w:t>2016/17</w:t>
            </w:r>
          </w:p>
        </w:tc>
        <w:tc>
          <w:tcPr>
            <w:tcW w:w="2303" w:type="dxa"/>
            <w:shd w:val="clear" w:color="auto" w:fill="E7E6E6" w:themeFill="background2"/>
          </w:tcPr>
          <w:p w:rsidR="00DC78E9" w:rsidRPr="00076CE1" w:rsidRDefault="00E56C9A" w:rsidP="00105290">
            <w:pPr>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Employment period</w:t>
            </w:r>
          </w:p>
        </w:tc>
        <w:tc>
          <w:tcPr>
            <w:tcW w:w="2304" w:type="dxa"/>
            <w:shd w:val="clear" w:color="auto" w:fill="E7E6E6" w:themeFill="background2"/>
          </w:tcPr>
          <w:p w:rsidR="00DC78E9" w:rsidRPr="00076CE1" w:rsidRDefault="00E56C9A" w:rsidP="00105290">
            <w:pPr>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Salary</w:t>
            </w:r>
            <w:r w:rsidRPr="00076CE1">
              <w:rPr>
                <w:rFonts w:ascii="Arial" w:eastAsia="Arial Unicode MS" w:hAnsi="Arial" w:cs="Arial"/>
                <w:b/>
                <w:color w:val="000000"/>
                <w:sz w:val="20"/>
                <w:szCs w:val="22"/>
                <w:vertAlign w:val="superscript"/>
              </w:rPr>
              <w:t>1</w:t>
            </w:r>
          </w:p>
        </w:tc>
        <w:tc>
          <w:tcPr>
            <w:tcW w:w="2303" w:type="dxa"/>
            <w:shd w:val="clear" w:color="auto" w:fill="E7E6E6" w:themeFill="background2"/>
          </w:tcPr>
          <w:p w:rsidR="00DC78E9" w:rsidRPr="00076CE1" w:rsidRDefault="00E56C9A" w:rsidP="00105290">
            <w:pPr>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Pension contributions</w:t>
            </w:r>
            <w:r w:rsidRPr="00076CE1">
              <w:rPr>
                <w:rFonts w:ascii="Arial" w:eastAsia="Arial Unicode MS" w:hAnsi="Arial" w:cs="Arial"/>
                <w:b/>
                <w:color w:val="000000"/>
                <w:sz w:val="20"/>
                <w:szCs w:val="22"/>
                <w:vertAlign w:val="superscript"/>
              </w:rPr>
              <w:t>1</w:t>
            </w:r>
          </w:p>
        </w:tc>
        <w:tc>
          <w:tcPr>
            <w:tcW w:w="2304" w:type="dxa"/>
            <w:shd w:val="clear" w:color="auto" w:fill="E7E6E6" w:themeFill="background2"/>
          </w:tcPr>
          <w:p w:rsidR="00DC78E9" w:rsidRPr="00076CE1" w:rsidRDefault="00E56C9A" w:rsidP="00105290">
            <w:pPr>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Total including pension contributions</w:t>
            </w:r>
            <w:r w:rsidRPr="00076CE1">
              <w:rPr>
                <w:rFonts w:ascii="Arial" w:eastAsia="Arial Unicode MS" w:hAnsi="Arial" w:cs="Arial"/>
                <w:b/>
                <w:color w:val="000000"/>
                <w:sz w:val="20"/>
                <w:szCs w:val="22"/>
                <w:vertAlign w:val="superscript"/>
              </w:rPr>
              <w:t>1</w:t>
            </w:r>
          </w:p>
        </w:tc>
      </w:tr>
      <w:tr w:rsidR="00B368D6" w:rsidTr="00105290">
        <w:trPr>
          <w:trHeight w:val="431"/>
        </w:trPr>
        <w:tc>
          <w:tcPr>
            <w:tcW w:w="5954" w:type="dxa"/>
            <w:tcBorders>
              <w:top w:val="nil"/>
            </w:tcBorders>
            <w:shd w:val="clear" w:color="auto" w:fill="E7E6E6" w:themeFill="background2"/>
          </w:tcPr>
          <w:p w:rsidR="00DC78E9" w:rsidRPr="00076CE1" w:rsidRDefault="00E56C9A" w:rsidP="004D7695">
            <w:pPr>
              <w:autoSpaceDE w:val="0"/>
              <w:autoSpaceDN w:val="0"/>
              <w:adjustRightInd w:val="0"/>
              <w:jc w:val="right"/>
              <w:rPr>
                <w:rFonts w:ascii="Arial" w:eastAsia="Arial Unicode MS" w:hAnsi="Arial" w:cs="Arial"/>
                <w:b/>
                <w:color w:val="000000"/>
                <w:sz w:val="20"/>
                <w:szCs w:val="22"/>
              </w:rPr>
            </w:pPr>
          </w:p>
        </w:tc>
        <w:tc>
          <w:tcPr>
            <w:tcW w:w="2303" w:type="dxa"/>
            <w:shd w:val="clear" w:color="auto" w:fill="E7E6E6" w:themeFill="background2"/>
          </w:tcPr>
          <w:p w:rsidR="00DC78E9" w:rsidRPr="00076CE1" w:rsidRDefault="00E56C9A" w:rsidP="004D7695">
            <w:pPr>
              <w:autoSpaceDE w:val="0"/>
              <w:autoSpaceDN w:val="0"/>
              <w:adjustRightInd w:val="0"/>
              <w:jc w:val="right"/>
              <w:rPr>
                <w:rFonts w:ascii="Arial" w:eastAsia="Arial Unicode MS" w:hAnsi="Arial" w:cs="Arial"/>
                <w:b/>
                <w:color w:val="000000"/>
                <w:sz w:val="20"/>
                <w:szCs w:val="22"/>
              </w:rPr>
            </w:pPr>
          </w:p>
        </w:tc>
        <w:tc>
          <w:tcPr>
            <w:tcW w:w="2304" w:type="dxa"/>
            <w:shd w:val="clear" w:color="auto" w:fill="E7E6E6" w:themeFill="background2"/>
          </w:tcPr>
          <w:p w:rsidR="00DC78E9" w:rsidRPr="00076CE1" w:rsidRDefault="00E56C9A" w:rsidP="004D7695">
            <w:pPr>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w:t>
            </w:r>
          </w:p>
        </w:tc>
        <w:tc>
          <w:tcPr>
            <w:tcW w:w="2303" w:type="dxa"/>
            <w:shd w:val="clear" w:color="auto" w:fill="E7E6E6" w:themeFill="background2"/>
          </w:tcPr>
          <w:p w:rsidR="00DC78E9" w:rsidRPr="00076CE1" w:rsidRDefault="00E56C9A" w:rsidP="004D7695">
            <w:pPr>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w:t>
            </w:r>
          </w:p>
        </w:tc>
        <w:tc>
          <w:tcPr>
            <w:tcW w:w="2304" w:type="dxa"/>
            <w:shd w:val="clear" w:color="auto" w:fill="E7E6E6" w:themeFill="background2"/>
          </w:tcPr>
          <w:p w:rsidR="00DC78E9" w:rsidRPr="00076CE1" w:rsidRDefault="00E56C9A" w:rsidP="004D7695">
            <w:pPr>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w:t>
            </w:r>
          </w:p>
        </w:tc>
      </w:tr>
      <w:tr w:rsidR="00B368D6" w:rsidTr="00105290">
        <w:trPr>
          <w:trHeight w:val="431"/>
        </w:trPr>
        <w:tc>
          <w:tcPr>
            <w:tcW w:w="5954" w:type="dxa"/>
            <w:shd w:val="clear" w:color="auto" w:fill="auto"/>
          </w:tcPr>
          <w:p w:rsidR="00DC78E9" w:rsidRPr="00076CE1" w:rsidRDefault="00E56C9A" w:rsidP="00BE7F4F">
            <w:pPr>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 xml:space="preserve">Head of </w:t>
            </w:r>
            <w:r w:rsidRPr="00076CE1">
              <w:rPr>
                <w:rFonts w:ascii="Arial" w:eastAsia="Arial Unicode MS" w:hAnsi="Arial" w:cs="Arial"/>
                <w:color w:val="000000"/>
                <w:sz w:val="20"/>
                <w:szCs w:val="22"/>
              </w:rPr>
              <w:t>Fund</w:t>
            </w:r>
          </w:p>
        </w:tc>
        <w:tc>
          <w:tcPr>
            <w:tcW w:w="2303" w:type="dxa"/>
            <w:shd w:val="clear" w:color="auto" w:fill="auto"/>
          </w:tcPr>
          <w:p w:rsidR="00DC78E9" w:rsidRPr="00076CE1" w:rsidRDefault="00E56C9A" w:rsidP="00BE7F4F">
            <w:pPr>
              <w:autoSpaceDE w:val="0"/>
              <w:autoSpaceDN w:val="0"/>
              <w:adjustRightInd w:val="0"/>
              <w:jc w:val="center"/>
              <w:rPr>
                <w:rFonts w:ascii="Arial" w:eastAsia="Arial Unicode MS" w:hAnsi="Arial" w:cs="Arial"/>
                <w:color w:val="000000"/>
                <w:sz w:val="20"/>
                <w:szCs w:val="22"/>
              </w:rPr>
            </w:pPr>
            <w:r w:rsidRPr="00076CE1">
              <w:rPr>
                <w:rFonts w:ascii="Arial" w:eastAsia="Arial Unicode MS" w:hAnsi="Arial" w:cs="Arial"/>
                <w:color w:val="000000"/>
                <w:sz w:val="20"/>
                <w:szCs w:val="22"/>
              </w:rPr>
              <w:t>01/04/16 – 31/03/17</w:t>
            </w:r>
          </w:p>
        </w:tc>
        <w:tc>
          <w:tcPr>
            <w:tcW w:w="2304" w:type="dxa"/>
            <w:shd w:val="clear" w:color="auto" w:fill="auto"/>
          </w:tcPr>
          <w:p w:rsidR="00DC78E9" w:rsidRPr="00076CE1" w:rsidRDefault="00E56C9A" w:rsidP="007D502B">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52,175</w:t>
            </w:r>
          </w:p>
        </w:tc>
        <w:tc>
          <w:tcPr>
            <w:tcW w:w="2303" w:type="dxa"/>
            <w:shd w:val="clear" w:color="auto" w:fill="auto"/>
          </w:tcPr>
          <w:p w:rsidR="00DC78E9" w:rsidRPr="00076CE1" w:rsidRDefault="00E56C9A" w:rsidP="007D502B">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6,664</w:t>
            </w:r>
          </w:p>
        </w:tc>
        <w:tc>
          <w:tcPr>
            <w:tcW w:w="2304"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58,839</w:t>
            </w:r>
          </w:p>
        </w:tc>
      </w:tr>
      <w:tr w:rsidR="00B368D6" w:rsidTr="00105290">
        <w:trPr>
          <w:trHeight w:val="431"/>
        </w:trPr>
        <w:tc>
          <w:tcPr>
            <w:tcW w:w="5954" w:type="dxa"/>
            <w:shd w:val="clear" w:color="auto" w:fill="auto"/>
          </w:tcPr>
          <w:p w:rsidR="00DC78E9" w:rsidRPr="00076CE1" w:rsidRDefault="00E56C9A" w:rsidP="00105290">
            <w:pPr>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Director of Financial Resources (Section 151 officer)</w:t>
            </w:r>
          </w:p>
        </w:tc>
        <w:tc>
          <w:tcPr>
            <w:tcW w:w="2303" w:type="dxa"/>
            <w:shd w:val="clear" w:color="auto" w:fill="auto"/>
          </w:tcPr>
          <w:p w:rsidR="00DC78E9" w:rsidRPr="00076CE1" w:rsidRDefault="00E56C9A" w:rsidP="00BE7F4F">
            <w:pPr>
              <w:autoSpaceDE w:val="0"/>
              <w:autoSpaceDN w:val="0"/>
              <w:adjustRightInd w:val="0"/>
              <w:jc w:val="center"/>
              <w:rPr>
                <w:rFonts w:ascii="Arial" w:eastAsia="Arial Unicode MS" w:hAnsi="Arial" w:cs="Arial"/>
                <w:color w:val="000000"/>
                <w:sz w:val="20"/>
                <w:szCs w:val="22"/>
              </w:rPr>
            </w:pPr>
            <w:r w:rsidRPr="00076CE1">
              <w:rPr>
                <w:rFonts w:ascii="Arial" w:eastAsia="Arial Unicode MS" w:hAnsi="Arial" w:cs="Arial"/>
                <w:color w:val="000000"/>
                <w:sz w:val="20"/>
                <w:szCs w:val="22"/>
              </w:rPr>
              <w:t xml:space="preserve">01/04/16 – </w:t>
            </w:r>
            <w:r w:rsidRPr="00076CE1">
              <w:rPr>
                <w:rFonts w:ascii="Arial" w:eastAsia="Arial Unicode MS" w:hAnsi="Arial" w:cs="Arial"/>
                <w:color w:val="000000"/>
                <w:sz w:val="20"/>
                <w:szCs w:val="22"/>
              </w:rPr>
              <w:t>31/03/17</w:t>
            </w:r>
          </w:p>
        </w:tc>
        <w:tc>
          <w:tcPr>
            <w:tcW w:w="2304"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4,732</w:t>
            </w:r>
          </w:p>
        </w:tc>
        <w:tc>
          <w:tcPr>
            <w:tcW w:w="2303" w:type="dxa"/>
            <w:shd w:val="clear" w:color="auto" w:fill="auto"/>
          </w:tcPr>
          <w:p w:rsidR="00DC78E9" w:rsidRPr="00076CE1" w:rsidRDefault="00E56C9A" w:rsidP="007D502B">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563</w:t>
            </w:r>
          </w:p>
        </w:tc>
        <w:tc>
          <w:tcPr>
            <w:tcW w:w="2304"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5,295</w:t>
            </w:r>
          </w:p>
        </w:tc>
      </w:tr>
    </w:tbl>
    <w:p w:rsidR="00DC78E9" w:rsidRPr="00076CE1" w:rsidRDefault="00E56C9A" w:rsidP="00DC78E9">
      <w:pPr>
        <w:autoSpaceDE w:val="0"/>
        <w:autoSpaceDN w:val="0"/>
        <w:adjustRightInd w:val="0"/>
        <w:jc w:val="both"/>
        <w:rPr>
          <w:rFonts w:ascii="Arial" w:eastAsia="Arial Unicode MS" w:hAnsi="Arial" w:cs="Arial"/>
          <w:color w:val="000000"/>
          <w:sz w:val="22"/>
          <w:szCs w:val="22"/>
        </w:rPr>
      </w:pPr>
    </w:p>
    <w:tbl>
      <w:tblPr>
        <w:tblStyle w:val="TableGrid2"/>
        <w:tblW w:w="15168" w:type="dxa"/>
        <w:tblInd w:w="-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954"/>
        <w:gridCol w:w="2303"/>
        <w:gridCol w:w="2304"/>
        <w:gridCol w:w="2303"/>
        <w:gridCol w:w="2304"/>
      </w:tblGrid>
      <w:tr w:rsidR="00B368D6" w:rsidTr="00105290">
        <w:trPr>
          <w:trHeight w:val="431"/>
        </w:trPr>
        <w:tc>
          <w:tcPr>
            <w:tcW w:w="5954" w:type="dxa"/>
            <w:tcBorders>
              <w:bottom w:val="nil"/>
            </w:tcBorders>
            <w:shd w:val="clear" w:color="auto" w:fill="E7E6E6" w:themeFill="background2"/>
          </w:tcPr>
          <w:p w:rsidR="00DC78E9" w:rsidRPr="00076CE1" w:rsidRDefault="00E56C9A" w:rsidP="00105290">
            <w:pPr>
              <w:autoSpaceDE w:val="0"/>
              <w:autoSpaceDN w:val="0"/>
              <w:adjustRightInd w:val="0"/>
              <w:jc w:val="both"/>
              <w:rPr>
                <w:rFonts w:ascii="Arial" w:eastAsia="Arial Unicode MS" w:hAnsi="Arial" w:cs="Arial"/>
                <w:b/>
                <w:color w:val="000000"/>
                <w:sz w:val="20"/>
                <w:szCs w:val="22"/>
              </w:rPr>
            </w:pPr>
            <w:r w:rsidRPr="00076CE1">
              <w:rPr>
                <w:rFonts w:ascii="Arial" w:eastAsia="Arial Unicode MS" w:hAnsi="Arial" w:cs="Arial"/>
                <w:b/>
                <w:color w:val="000000"/>
                <w:sz w:val="20"/>
                <w:szCs w:val="22"/>
              </w:rPr>
              <w:t>2015/16</w:t>
            </w:r>
          </w:p>
        </w:tc>
        <w:tc>
          <w:tcPr>
            <w:tcW w:w="2303" w:type="dxa"/>
            <w:shd w:val="clear" w:color="auto" w:fill="E7E6E6" w:themeFill="background2"/>
          </w:tcPr>
          <w:p w:rsidR="00DC78E9" w:rsidRPr="00076CE1" w:rsidRDefault="00E56C9A" w:rsidP="00105290">
            <w:pPr>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Employment period</w:t>
            </w:r>
          </w:p>
        </w:tc>
        <w:tc>
          <w:tcPr>
            <w:tcW w:w="2304" w:type="dxa"/>
            <w:shd w:val="clear" w:color="auto" w:fill="E7E6E6" w:themeFill="background2"/>
          </w:tcPr>
          <w:p w:rsidR="00DC78E9" w:rsidRPr="00076CE1" w:rsidRDefault="00E56C9A" w:rsidP="00105290">
            <w:pPr>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Salary</w:t>
            </w:r>
            <w:r w:rsidRPr="00076CE1">
              <w:rPr>
                <w:rFonts w:ascii="Arial" w:eastAsia="Arial Unicode MS" w:hAnsi="Arial" w:cs="Arial"/>
                <w:b/>
                <w:color w:val="000000"/>
                <w:sz w:val="20"/>
                <w:szCs w:val="22"/>
                <w:vertAlign w:val="superscript"/>
              </w:rPr>
              <w:t>1</w:t>
            </w:r>
          </w:p>
        </w:tc>
        <w:tc>
          <w:tcPr>
            <w:tcW w:w="2303" w:type="dxa"/>
            <w:shd w:val="clear" w:color="auto" w:fill="E7E6E6" w:themeFill="background2"/>
          </w:tcPr>
          <w:p w:rsidR="00DC78E9" w:rsidRPr="00076CE1" w:rsidRDefault="00E56C9A" w:rsidP="00105290">
            <w:pPr>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Pension contributions</w:t>
            </w:r>
            <w:r w:rsidRPr="00076CE1">
              <w:rPr>
                <w:rFonts w:ascii="Arial" w:eastAsia="Arial Unicode MS" w:hAnsi="Arial" w:cs="Arial"/>
                <w:b/>
                <w:color w:val="000000"/>
                <w:sz w:val="20"/>
                <w:szCs w:val="22"/>
                <w:vertAlign w:val="superscript"/>
              </w:rPr>
              <w:t>1</w:t>
            </w:r>
          </w:p>
        </w:tc>
        <w:tc>
          <w:tcPr>
            <w:tcW w:w="2304" w:type="dxa"/>
            <w:shd w:val="clear" w:color="auto" w:fill="E7E6E6" w:themeFill="background2"/>
          </w:tcPr>
          <w:p w:rsidR="00DC78E9" w:rsidRPr="00076CE1" w:rsidRDefault="00E56C9A" w:rsidP="00105290">
            <w:pPr>
              <w:autoSpaceDE w:val="0"/>
              <w:autoSpaceDN w:val="0"/>
              <w:adjustRightInd w:val="0"/>
              <w:jc w:val="center"/>
              <w:rPr>
                <w:rFonts w:ascii="Arial" w:eastAsia="Arial Unicode MS" w:hAnsi="Arial" w:cs="Arial"/>
                <w:b/>
                <w:color w:val="000000"/>
                <w:sz w:val="20"/>
                <w:szCs w:val="22"/>
              </w:rPr>
            </w:pPr>
            <w:r w:rsidRPr="00076CE1">
              <w:rPr>
                <w:rFonts w:ascii="Arial" w:eastAsia="Arial Unicode MS" w:hAnsi="Arial" w:cs="Arial"/>
                <w:b/>
                <w:color w:val="000000"/>
                <w:sz w:val="20"/>
                <w:szCs w:val="22"/>
              </w:rPr>
              <w:t>Total including pension contributions</w:t>
            </w:r>
            <w:r w:rsidRPr="00076CE1">
              <w:rPr>
                <w:rFonts w:ascii="Arial" w:eastAsia="Arial Unicode MS" w:hAnsi="Arial" w:cs="Arial"/>
                <w:b/>
                <w:color w:val="000000"/>
                <w:sz w:val="20"/>
                <w:szCs w:val="22"/>
                <w:vertAlign w:val="superscript"/>
              </w:rPr>
              <w:t>1</w:t>
            </w:r>
          </w:p>
        </w:tc>
      </w:tr>
      <w:tr w:rsidR="00B368D6" w:rsidTr="00105290">
        <w:trPr>
          <w:trHeight w:val="431"/>
        </w:trPr>
        <w:tc>
          <w:tcPr>
            <w:tcW w:w="5954" w:type="dxa"/>
            <w:tcBorders>
              <w:top w:val="nil"/>
            </w:tcBorders>
            <w:shd w:val="clear" w:color="auto" w:fill="E7E6E6" w:themeFill="background2"/>
          </w:tcPr>
          <w:p w:rsidR="00DC78E9" w:rsidRPr="00076CE1" w:rsidRDefault="00E56C9A" w:rsidP="004D7695">
            <w:pPr>
              <w:autoSpaceDE w:val="0"/>
              <w:autoSpaceDN w:val="0"/>
              <w:adjustRightInd w:val="0"/>
              <w:jc w:val="right"/>
              <w:rPr>
                <w:rFonts w:ascii="Arial" w:eastAsia="Arial Unicode MS" w:hAnsi="Arial" w:cs="Arial"/>
                <w:b/>
                <w:color w:val="000000"/>
                <w:sz w:val="20"/>
                <w:szCs w:val="22"/>
              </w:rPr>
            </w:pPr>
          </w:p>
        </w:tc>
        <w:tc>
          <w:tcPr>
            <w:tcW w:w="2303" w:type="dxa"/>
            <w:shd w:val="clear" w:color="auto" w:fill="E7E6E6" w:themeFill="background2"/>
          </w:tcPr>
          <w:p w:rsidR="00DC78E9" w:rsidRPr="00076CE1" w:rsidRDefault="00E56C9A" w:rsidP="004D7695">
            <w:pPr>
              <w:autoSpaceDE w:val="0"/>
              <w:autoSpaceDN w:val="0"/>
              <w:adjustRightInd w:val="0"/>
              <w:jc w:val="right"/>
              <w:rPr>
                <w:rFonts w:ascii="Arial" w:eastAsia="Arial Unicode MS" w:hAnsi="Arial" w:cs="Arial"/>
                <w:b/>
                <w:color w:val="000000"/>
                <w:sz w:val="20"/>
                <w:szCs w:val="22"/>
              </w:rPr>
            </w:pPr>
          </w:p>
        </w:tc>
        <w:tc>
          <w:tcPr>
            <w:tcW w:w="2304" w:type="dxa"/>
            <w:shd w:val="clear" w:color="auto" w:fill="E7E6E6" w:themeFill="background2"/>
          </w:tcPr>
          <w:p w:rsidR="00DC78E9" w:rsidRPr="00076CE1" w:rsidRDefault="00E56C9A" w:rsidP="004D7695">
            <w:pPr>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w:t>
            </w:r>
          </w:p>
        </w:tc>
        <w:tc>
          <w:tcPr>
            <w:tcW w:w="2303" w:type="dxa"/>
            <w:shd w:val="clear" w:color="auto" w:fill="E7E6E6" w:themeFill="background2"/>
          </w:tcPr>
          <w:p w:rsidR="00DC78E9" w:rsidRPr="00076CE1" w:rsidRDefault="00E56C9A" w:rsidP="004D7695">
            <w:pPr>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w:t>
            </w:r>
          </w:p>
        </w:tc>
        <w:tc>
          <w:tcPr>
            <w:tcW w:w="2304" w:type="dxa"/>
            <w:shd w:val="clear" w:color="auto" w:fill="E7E6E6" w:themeFill="background2"/>
          </w:tcPr>
          <w:p w:rsidR="00DC78E9" w:rsidRPr="00076CE1" w:rsidRDefault="00E56C9A" w:rsidP="004D7695">
            <w:pPr>
              <w:autoSpaceDE w:val="0"/>
              <w:autoSpaceDN w:val="0"/>
              <w:adjustRightInd w:val="0"/>
              <w:jc w:val="right"/>
              <w:rPr>
                <w:rFonts w:ascii="Arial" w:eastAsia="Arial Unicode MS" w:hAnsi="Arial" w:cs="Arial"/>
                <w:b/>
                <w:color w:val="000000"/>
                <w:sz w:val="20"/>
                <w:szCs w:val="22"/>
              </w:rPr>
            </w:pPr>
            <w:r w:rsidRPr="00076CE1">
              <w:rPr>
                <w:rFonts w:ascii="Arial" w:eastAsia="Arial Unicode MS" w:hAnsi="Arial" w:cs="Arial"/>
                <w:b/>
                <w:color w:val="000000"/>
                <w:sz w:val="20"/>
                <w:szCs w:val="22"/>
              </w:rPr>
              <w:t>£</w:t>
            </w:r>
          </w:p>
        </w:tc>
      </w:tr>
      <w:tr w:rsidR="00B368D6" w:rsidTr="00105290">
        <w:trPr>
          <w:trHeight w:val="431"/>
        </w:trPr>
        <w:tc>
          <w:tcPr>
            <w:tcW w:w="5954" w:type="dxa"/>
            <w:shd w:val="clear" w:color="auto" w:fill="auto"/>
          </w:tcPr>
          <w:p w:rsidR="00DC78E9" w:rsidRPr="00076CE1" w:rsidRDefault="00E56C9A" w:rsidP="00105290">
            <w:pPr>
              <w:jc w:val="both"/>
              <w:rPr>
                <w:rFonts w:ascii="Arial" w:eastAsia="Arial Unicode MS" w:hAnsi="Arial" w:cs="Arial"/>
                <w:color w:val="000000"/>
                <w:sz w:val="20"/>
                <w:szCs w:val="22"/>
              </w:rPr>
            </w:pPr>
            <w:r w:rsidRPr="00076CE1">
              <w:rPr>
                <w:rFonts w:ascii="Arial" w:eastAsia="Arial Unicode MS" w:hAnsi="Arial" w:cs="Arial"/>
                <w:color w:val="000000"/>
                <w:sz w:val="20"/>
                <w:szCs w:val="22"/>
              </w:rPr>
              <w:t>*Director of Lancashire Pension Fund</w:t>
            </w:r>
          </w:p>
        </w:tc>
        <w:tc>
          <w:tcPr>
            <w:tcW w:w="2303"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01/04/15 - 31/03/16</w:t>
            </w:r>
          </w:p>
        </w:tc>
        <w:tc>
          <w:tcPr>
            <w:tcW w:w="2304"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86,199</w:t>
            </w:r>
          </w:p>
        </w:tc>
        <w:tc>
          <w:tcPr>
            <w:tcW w:w="2303"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10,800</w:t>
            </w:r>
          </w:p>
        </w:tc>
        <w:tc>
          <w:tcPr>
            <w:tcW w:w="2304"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96,999</w:t>
            </w:r>
          </w:p>
        </w:tc>
      </w:tr>
      <w:tr w:rsidR="00B368D6" w:rsidTr="00105290">
        <w:trPr>
          <w:trHeight w:val="431"/>
        </w:trPr>
        <w:tc>
          <w:tcPr>
            <w:tcW w:w="5954" w:type="dxa"/>
            <w:shd w:val="clear" w:color="auto" w:fill="auto"/>
          </w:tcPr>
          <w:p w:rsidR="00DC78E9" w:rsidRPr="00076CE1" w:rsidRDefault="00E56C9A" w:rsidP="00BE7F4F">
            <w:pPr>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 xml:space="preserve">**Head of </w:t>
            </w:r>
            <w:r w:rsidRPr="00076CE1">
              <w:rPr>
                <w:rFonts w:ascii="Arial" w:eastAsia="Arial Unicode MS" w:hAnsi="Arial" w:cs="Arial"/>
                <w:color w:val="000000"/>
                <w:sz w:val="20"/>
                <w:szCs w:val="22"/>
              </w:rPr>
              <w:t>Fund</w:t>
            </w:r>
          </w:p>
        </w:tc>
        <w:tc>
          <w:tcPr>
            <w:tcW w:w="2303"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01/12/15 – 31/03/16</w:t>
            </w:r>
          </w:p>
        </w:tc>
        <w:tc>
          <w:tcPr>
            <w:tcW w:w="2304"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16,316</w:t>
            </w:r>
          </w:p>
        </w:tc>
        <w:tc>
          <w:tcPr>
            <w:tcW w:w="2303"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2,167</w:t>
            </w:r>
          </w:p>
        </w:tc>
        <w:tc>
          <w:tcPr>
            <w:tcW w:w="2304"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18,483</w:t>
            </w:r>
          </w:p>
        </w:tc>
      </w:tr>
      <w:tr w:rsidR="00B368D6" w:rsidTr="00105290">
        <w:trPr>
          <w:trHeight w:val="431"/>
        </w:trPr>
        <w:tc>
          <w:tcPr>
            <w:tcW w:w="5954" w:type="dxa"/>
            <w:shd w:val="clear" w:color="auto" w:fill="auto"/>
          </w:tcPr>
          <w:p w:rsidR="00DC78E9" w:rsidRPr="00076CE1" w:rsidRDefault="00E56C9A" w:rsidP="00105290">
            <w:pPr>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***Director of Financial Resources (Section 151 officer)</w:t>
            </w:r>
          </w:p>
        </w:tc>
        <w:tc>
          <w:tcPr>
            <w:tcW w:w="2303"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29/02/16 – 31/03/16</w:t>
            </w:r>
          </w:p>
        </w:tc>
        <w:tc>
          <w:tcPr>
            <w:tcW w:w="2304"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401</w:t>
            </w:r>
          </w:p>
        </w:tc>
        <w:tc>
          <w:tcPr>
            <w:tcW w:w="2303"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25</w:t>
            </w:r>
          </w:p>
        </w:tc>
        <w:tc>
          <w:tcPr>
            <w:tcW w:w="2304"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426</w:t>
            </w:r>
          </w:p>
        </w:tc>
      </w:tr>
      <w:tr w:rsidR="00B368D6" w:rsidTr="00105290">
        <w:trPr>
          <w:trHeight w:val="431"/>
        </w:trPr>
        <w:tc>
          <w:tcPr>
            <w:tcW w:w="5954" w:type="dxa"/>
            <w:shd w:val="clear" w:color="auto" w:fill="auto"/>
          </w:tcPr>
          <w:p w:rsidR="00DC78E9" w:rsidRPr="00076CE1" w:rsidRDefault="00E56C9A" w:rsidP="00105290">
            <w:pPr>
              <w:autoSpaceDE w:val="0"/>
              <w:autoSpaceDN w:val="0"/>
              <w:adjustRightInd w:val="0"/>
              <w:jc w:val="both"/>
              <w:rPr>
                <w:rFonts w:ascii="Arial" w:eastAsia="Arial Unicode MS" w:hAnsi="Arial" w:cs="Arial"/>
                <w:color w:val="000000"/>
                <w:sz w:val="20"/>
                <w:szCs w:val="22"/>
              </w:rPr>
            </w:pPr>
            <w:r w:rsidRPr="00076CE1">
              <w:rPr>
                <w:rFonts w:ascii="Arial" w:eastAsia="Arial Unicode MS" w:hAnsi="Arial" w:cs="Arial"/>
                <w:color w:val="000000"/>
                <w:sz w:val="20"/>
                <w:szCs w:val="22"/>
              </w:rPr>
              <w:t>****Chief Investment Officer</w:t>
            </w:r>
          </w:p>
        </w:tc>
        <w:tc>
          <w:tcPr>
            <w:tcW w:w="2303"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01/04/15 - 31/03/16</w:t>
            </w:r>
          </w:p>
        </w:tc>
        <w:tc>
          <w:tcPr>
            <w:tcW w:w="2304"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120,150</w:t>
            </w:r>
          </w:p>
        </w:tc>
        <w:tc>
          <w:tcPr>
            <w:tcW w:w="2303"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13,230</w:t>
            </w:r>
          </w:p>
        </w:tc>
        <w:tc>
          <w:tcPr>
            <w:tcW w:w="2304" w:type="dxa"/>
            <w:shd w:val="clear" w:color="auto" w:fill="auto"/>
          </w:tcPr>
          <w:p w:rsidR="00DC78E9" w:rsidRPr="00076CE1" w:rsidRDefault="00E56C9A" w:rsidP="00105290">
            <w:pPr>
              <w:autoSpaceDE w:val="0"/>
              <w:autoSpaceDN w:val="0"/>
              <w:adjustRightInd w:val="0"/>
              <w:jc w:val="right"/>
              <w:rPr>
                <w:rFonts w:ascii="Arial" w:eastAsia="Arial Unicode MS" w:hAnsi="Arial" w:cs="Arial"/>
                <w:color w:val="000000"/>
                <w:sz w:val="20"/>
                <w:szCs w:val="22"/>
              </w:rPr>
            </w:pPr>
            <w:r w:rsidRPr="00076CE1">
              <w:rPr>
                <w:rFonts w:ascii="Arial" w:eastAsia="Arial Unicode MS" w:hAnsi="Arial" w:cs="Arial"/>
                <w:color w:val="000000"/>
                <w:sz w:val="20"/>
                <w:szCs w:val="22"/>
              </w:rPr>
              <w:t>133,380</w:t>
            </w:r>
          </w:p>
        </w:tc>
      </w:tr>
    </w:tbl>
    <w:p w:rsidR="002977B9" w:rsidRPr="00076CE1" w:rsidRDefault="00E56C9A" w:rsidP="002977B9">
      <w:pPr>
        <w:autoSpaceDE w:val="0"/>
        <w:autoSpaceDN w:val="0"/>
        <w:adjustRightInd w:val="0"/>
        <w:jc w:val="both"/>
        <w:rPr>
          <w:rFonts w:ascii="Arial" w:eastAsia="Arial Unicode MS" w:hAnsi="Arial" w:cs="Arial"/>
          <w:color w:val="000000"/>
          <w:sz w:val="22"/>
          <w:szCs w:val="22"/>
        </w:rPr>
      </w:pPr>
      <w:r w:rsidRPr="00076CE1">
        <w:rPr>
          <w:rFonts w:ascii="Arial" w:eastAsia="Arial Unicode MS" w:hAnsi="Arial" w:cs="Arial"/>
          <w:color w:val="000000"/>
          <w:sz w:val="18"/>
          <w:szCs w:val="18"/>
          <w:vertAlign w:val="superscript"/>
        </w:rPr>
        <w:t xml:space="preserve">1 </w:t>
      </w:r>
      <w:r w:rsidRPr="00076CE1">
        <w:rPr>
          <w:rFonts w:ascii="Arial" w:eastAsia="Arial Unicode MS" w:hAnsi="Arial" w:cs="Arial"/>
          <w:color w:val="000000"/>
          <w:sz w:val="18"/>
          <w:szCs w:val="22"/>
        </w:rPr>
        <w:t xml:space="preserve">The remuneration amount has been apportioned to the Fund on the basis of time spent on Fund work. </w:t>
      </w: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jc w:val="both"/>
        <w:rPr>
          <w:rFonts w:ascii="Arial" w:eastAsia="Arial Unicode MS" w:hAnsi="Arial" w:cs="Arial"/>
          <w:color w:val="000000"/>
          <w:sz w:val="18"/>
          <w:szCs w:val="22"/>
        </w:rPr>
      </w:pPr>
      <w:r w:rsidRPr="00076CE1">
        <w:rPr>
          <w:rFonts w:ascii="Arial" w:eastAsia="Arial Unicode MS" w:hAnsi="Arial" w:cs="Arial"/>
          <w:color w:val="000000"/>
          <w:sz w:val="18"/>
          <w:szCs w:val="22"/>
        </w:rPr>
        <w:t>*The Director of Lancashire Pension fund held the position for the full 12 month period. This position was terminated on</w:t>
      </w:r>
      <w:r w:rsidRPr="00076CE1">
        <w:rPr>
          <w:rFonts w:ascii="Arial" w:eastAsia="Arial Unicode MS" w:hAnsi="Arial" w:cs="Arial"/>
          <w:color w:val="000000"/>
          <w:sz w:val="18"/>
          <w:szCs w:val="22"/>
        </w:rPr>
        <w:t xml:space="preserve"> 31 March 2016.</w:t>
      </w:r>
    </w:p>
    <w:p w:rsidR="00DC78E9" w:rsidRPr="00076CE1" w:rsidRDefault="00E56C9A" w:rsidP="00DC78E9">
      <w:pPr>
        <w:autoSpaceDE w:val="0"/>
        <w:autoSpaceDN w:val="0"/>
        <w:adjustRightInd w:val="0"/>
        <w:jc w:val="both"/>
        <w:rPr>
          <w:rFonts w:ascii="Arial" w:eastAsia="Arial Unicode MS" w:hAnsi="Arial" w:cs="Arial"/>
          <w:color w:val="000000"/>
          <w:sz w:val="18"/>
          <w:szCs w:val="22"/>
        </w:rPr>
      </w:pPr>
      <w:r w:rsidRPr="00076CE1">
        <w:rPr>
          <w:rFonts w:ascii="Arial" w:eastAsia="Arial Unicode MS" w:hAnsi="Arial" w:cs="Arial"/>
          <w:color w:val="000000"/>
          <w:sz w:val="18"/>
          <w:szCs w:val="22"/>
        </w:rPr>
        <w:t xml:space="preserve">**The Head of Fund </w:t>
      </w:r>
      <w:r w:rsidRPr="00076CE1">
        <w:rPr>
          <w:rFonts w:ascii="Arial" w:eastAsia="Arial Unicode MS" w:hAnsi="Arial" w:cs="Arial"/>
          <w:color w:val="000000"/>
          <w:sz w:val="18"/>
          <w:szCs w:val="22"/>
        </w:rPr>
        <w:t>took up this new post on 1 December 2015</w:t>
      </w:r>
    </w:p>
    <w:p w:rsidR="002977B9" w:rsidRPr="00076CE1" w:rsidRDefault="00E56C9A" w:rsidP="00DC78E9">
      <w:pPr>
        <w:autoSpaceDE w:val="0"/>
        <w:autoSpaceDN w:val="0"/>
        <w:adjustRightInd w:val="0"/>
        <w:jc w:val="both"/>
        <w:rPr>
          <w:rFonts w:ascii="Arial" w:eastAsia="Arial Unicode MS" w:hAnsi="Arial" w:cs="Arial"/>
          <w:color w:val="000000"/>
          <w:sz w:val="18"/>
          <w:szCs w:val="22"/>
        </w:rPr>
      </w:pPr>
      <w:r w:rsidRPr="00076CE1">
        <w:rPr>
          <w:rFonts w:ascii="Arial" w:eastAsia="Arial Unicode MS" w:hAnsi="Arial" w:cs="Arial"/>
          <w:color w:val="000000"/>
          <w:sz w:val="18"/>
          <w:szCs w:val="22"/>
        </w:rPr>
        <w:t xml:space="preserve">***The Director of Financial Resources was appointed </w:t>
      </w:r>
      <w:proofErr w:type="gramStart"/>
      <w:r w:rsidRPr="00076CE1">
        <w:rPr>
          <w:rFonts w:ascii="Arial" w:eastAsia="Arial Unicode MS" w:hAnsi="Arial" w:cs="Arial"/>
          <w:color w:val="000000"/>
          <w:sz w:val="18"/>
          <w:szCs w:val="22"/>
        </w:rPr>
        <w:t>on  29</w:t>
      </w:r>
      <w:proofErr w:type="gramEnd"/>
      <w:r w:rsidRPr="00076CE1">
        <w:rPr>
          <w:rFonts w:ascii="Arial" w:eastAsia="Arial Unicode MS" w:hAnsi="Arial" w:cs="Arial"/>
          <w:color w:val="000000"/>
          <w:sz w:val="18"/>
          <w:szCs w:val="22"/>
        </w:rPr>
        <w:t xml:space="preserve"> February 2016. This position was previously held by an interim consultant. </w:t>
      </w:r>
    </w:p>
    <w:p w:rsidR="00615294" w:rsidRPr="00076CE1" w:rsidRDefault="00E56C9A" w:rsidP="00DC78E9">
      <w:pPr>
        <w:autoSpaceDE w:val="0"/>
        <w:autoSpaceDN w:val="0"/>
        <w:adjustRightInd w:val="0"/>
        <w:jc w:val="both"/>
        <w:rPr>
          <w:rFonts w:ascii="Arial" w:eastAsia="Arial Unicode MS" w:hAnsi="Arial" w:cs="Arial"/>
          <w:color w:val="000000"/>
          <w:sz w:val="18"/>
          <w:szCs w:val="22"/>
        </w:rPr>
      </w:pPr>
      <w:r w:rsidRPr="00076CE1">
        <w:rPr>
          <w:rFonts w:ascii="Arial" w:eastAsia="Arial Unicode MS" w:hAnsi="Arial" w:cs="Arial"/>
          <w:color w:val="000000"/>
          <w:sz w:val="18"/>
          <w:szCs w:val="22"/>
        </w:rPr>
        <w:t xml:space="preserve">****The Chief Investment Officer position </w:t>
      </w:r>
      <w:r>
        <w:rPr>
          <w:rFonts w:ascii="Arial" w:eastAsia="Arial Unicode MS" w:hAnsi="Arial" w:cs="Arial"/>
          <w:color w:val="000000"/>
          <w:sz w:val="18"/>
          <w:szCs w:val="22"/>
        </w:rPr>
        <w:t>transferred to the Local Pensions Par</w:t>
      </w:r>
      <w:r>
        <w:rPr>
          <w:rFonts w:ascii="Arial" w:eastAsia="Arial Unicode MS" w:hAnsi="Arial" w:cs="Arial"/>
          <w:color w:val="000000"/>
          <w:sz w:val="18"/>
          <w:szCs w:val="22"/>
        </w:rPr>
        <w:t xml:space="preserve">tnership </w:t>
      </w:r>
      <w:r w:rsidRPr="00076CE1">
        <w:rPr>
          <w:rFonts w:ascii="Arial" w:eastAsia="Arial Unicode MS" w:hAnsi="Arial" w:cs="Arial"/>
          <w:color w:val="000000"/>
          <w:sz w:val="18"/>
          <w:szCs w:val="22"/>
        </w:rPr>
        <w:t xml:space="preserve">on 7 April 2016.  </w:t>
      </w: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pPr>
    </w:p>
    <w:p w:rsidR="00DC78E9" w:rsidRPr="00076CE1" w:rsidRDefault="00E56C9A" w:rsidP="00DC78E9">
      <w:pPr>
        <w:autoSpaceDE w:val="0"/>
        <w:autoSpaceDN w:val="0"/>
        <w:adjustRightInd w:val="0"/>
        <w:ind w:left="720"/>
        <w:jc w:val="both"/>
        <w:rPr>
          <w:rFonts w:ascii="Arial" w:eastAsia="Arial Unicode MS" w:hAnsi="Arial" w:cs="Arial"/>
          <w:color w:val="000000"/>
          <w:sz w:val="22"/>
          <w:szCs w:val="22"/>
        </w:rPr>
        <w:sectPr w:rsidR="00DC78E9" w:rsidRPr="00076CE1" w:rsidSect="00105290">
          <w:footerReference w:type="default" r:id="rId12"/>
          <w:pgSz w:w="16840" w:h="11900" w:orient="landscape" w:code="9"/>
          <w:pgMar w:top="1191" w:right="862" w:bottom="1111" w:left="862" w:header="567" w:footer="567" w:gutter="0"/>
          <w:cols w:space="292"/>
          <w:docGrid w:linePitch="326"/>
        </w:sectPr>
      </w:pPr>
    </w:p>
    <w:p w:rsidR="00DC78E9" w:rsidRPr="00076CE1" w:rsidRDefault="00E56C9A" w:rsidP="00883473">
      <w:pPr>
        <w:widowControl w:val="0"/>
        <w:tabs>
          <w:tab w:val="num" w:pos="862"/>
        </w:tabs>
        <w:suppressAutoHyphens/>
        <w:autoSpaceDE w:val="0"/>
        <w:autoSpaceDN w:val="0"/>
        <w:adjustRightInd w:val="0"/>
        <w:contextualSpacing/>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lastRenderedPageBreak/>
        <w:t>2</w:t>
      </w:r>
      <w:r>
        <w:rPr>
          <w:rFonts w:ascii="Arial" w:eastAsia="Arial Unicode MS" w:hAnsi="Arial" w:cs="Arial"/>
          <w:b/>
          <w:color w:val="000000"/>
          <w:sz w:val="32"/>
          <w:szCs w:val="22"/>
        </w:rPr>
        <w:t>5</w:t>
      </w:r>
      <w:r w:rsidRPr="00076CE1">
        <w:rPr>
          <w:rFonts w:ascii="Arial" w:eastAsia="Arial Unicode MS" w:hAnsi="Arial" w:cs="Arial"/>
          <w:b/>
          <w:color w:val="000000"/>
          <w:sz w:val="32"/>
          <w:szCs w:val="22"/>
        </w:rPr>
        <w:t xml:space="preserve">. </w:t>
      </w:r>
      <w:r w:rsidRPr="00076CE1">
        <w:rPr>
          <w:rFonts w:ascii="Arial" w:eastAsia="Arial Unicode MS" w:hAnsi="Arial" w:cs="Arial"/>
          <w:b/>
          <w:color w:val="000000"/>
          <w:sz w:val="32"/>
          <w:szCs w:val="22"/>
        </w:rPr>
        <w:t>FUNDING ARRANGEMENTS</w:t>
      </w:r>
    </w:p>
    <w:p w:rsidR="00DC78E9" w:rsidRPr="00076CE1" w:rsidRDefault="00E56C9A" w:rsidP="00DC78E9">
      <w:pPr>
        <w:widowControl w:val="0"/>
        <w:tabs>
          <w:tab w:val="num" w:pos="567"/>
        </w:tabs>
        <w:suppressAutoHyphens/>
        <w:autoSpaceDE w:val="0"/>
        <w:autoSpaceDN w:val="0"/>
        <w:adjustRightInd w:val="0"/>
        <w:jc w:val="both"/>
        <w:rPr>
          <w:rFonts w:ascii="Arial" w:eastAsia="Arial Unicode MS" w:hAnsi="Arial" w:cs="Arial"/>
          <w:b/>
          <w:color w:val="000000"/>
          <w:szCs w:val="22"/>
        </w:rPr>
      </w:pPr>
    </w:p>
    <w:p w:rsidR="00DC78E9" w:rsidRPr="00076CE1" w:rsidRDefault="00E56C9A" w:rsidP="00DC78E9">
      <w:pPr>
        <w:keepNext/>
        <w:autoSpaceDE w:val="0"/>
        <w:autoSpaceDN w:val="0"/>
        <w:adjustRightInd w:val="0"/>
        <w:spacing w:line="300" w:lineRule="atLeast"/>
        <w:jc w:val="both"/>
        <w:outlineLvl w:val="2"/>
        <w:rPr>
          <w:rFonts w:ascii="Arial" w:eastAsia="Arial Unicode MS" w:hAnsi="Arial" w:cs="Arial"/>
          <w:b/>
          <w:snapToGrid w:val="0"/>
          <w:color w:val="000000"/>
          <w:sz w:val="32"/>
          <w:szCs w:val="22"/>
        </w:rPr>
      </w:pPr>
      <w:r w:rsidRPr="00076CE1">
        <w:rPr>
          <w:rFonts w:ascii="Arial" w:eastAsia="Arial Unicode MS" w:hAnsi="Arial" w:cs="Arial"/>
          <w:b/>
          <w:snapToGrid w:val="0"/>
          <w:color w:val="000000"/>
          <w:sz w:val="32"/>
          <w:szCs w:val="22"/>
        </w:rPr>
        <w:t>Accounts for the year ended 31 March 2017 - Statement by the Consulting Actuary</w:t>
      </w:r>
    </w:p>
    <w:p w:rsidR="00DC78E9" w:rsidRPr="00076CE1" w:rsidRDefault="00E56C9A" w:rsidP="00DC78E9">
      <w:pPr>
        <w:autoSpaceDE w:val="0"/>
        <w:autoSpaceDN w:val="0"/>
        <w:adjustRightInd w:val="0"/>
        <w:jc w:val="both"/>
        <w:rPr>
          <w:rFonts w:ascii="Arial" w:eastAsia="Arial Unicode MS" w:hAnsi="Arial" w:cs="Arial"/>
          <w:color w:val="000000"/>
          <w:sz w:val="22"/>
          <w:szCs w:val="22"/>
        </w:rPr>
      </w:pPr>
    </w:p>
    <w:p w:rsidR="00731A5C" w:rsidRPr="001F5D26" w:rsidRDefault="00E56C9A" w:rsidP="00731A5C">
      <w:pPr>
        <w:rPr>
          <w:rFonts w:ascii="Arial" w:hAnsi="Arial" w:cs="Arial"/>
          <w:noProof/>
          <w:sz w:val="22"/>
          <w:szCs w:val="22"/>
          <w:lang w:eastAsia="en-GB"/>
        </w:rPr>
      </w:pPr>
      <w:r w:rsidRPr="001F5D26">
        <w:rPr>
          <w:rFonts w:ascii="Arial" w:hAnsi="Arial" w:cs="Arial"/>
          <w:noProof/>
          <w:sz w:val="22"/>
          <w:szCs w:val="22"/>
          <w:lang w:eastAsia="en-GB"/>
        </w:rPr>
        <w:t xml:space="preserve">This statement has been provided to meet the requirements under Regulation 57(1)(d) of The Local </w:t>
      </w:r>
      <w:r w:rsidRPr="001F5D26">
        <w:rPr>
          <w:rFonts w:ascii="Arial" w:hAnsi="Arial" w:cs="Arial"/>
          <w:noProof/>
          <w:sz w:val="22"/>
          <w:szCs w:val="22"/>
          <w:lang w:eastAsia="en-GB"/>
        </w:rPr>
        <w:t>Government Pension Scheme Regulations 2013.</w:t>
      </w:r>
    </w:p>
    <w:p w:rsidR="00731A5C" w:rsidRPr="001F5D26" w:rsidRDefault="00E56C9A" w:rsidP="00731A5C">
      <w:pPr>
        <w:rPr>
          <w:rFonts w:ascii="Arial" w:hAnsi="Arial" w:cs="Arial"/>
          <w:noProof/>
          <w:sz w:val="22"/>
          <w:szCs w:val="22"/>
          <w:lang w:eastAsia="en-GB"/>
        </w:rPr>
      </w:pPr>
    </w:p>
    <w:p w:rsidR="00731A5C" w:rsidRPr="001F5D26" w:rsidRDefault="00E56C9A" w:rsidP="00731A5C">
      <w:pPr>
        <w:rPr>
          <w:rFonts w:ascii="Arial" w:hAnsi="Arial" w:cs="Arial"/>
          <w:noProof/>
          <w:sz w:val="22"/>
          <w:szCs w:val="22"/>
          <w:lang w:eastAsia="en-GB"/>
        </w:rPr>
      </w:pPr>
      <w:r w:rsidRPr="001F5D26">
        <w:rPr>
          <w:rFonts w:ascii="Arial" w:hAnsi="Arial" w:cs="Arial"/>
          <w:noProof/>
          <w:sz w:val="22"/>
          <w:szCs w:val="22"/>
          <w:lang w:eastAsia="en-GB"/>
        </w:rPr>
        <w:t>An actuarial valuation of the Lancashire County Pension Fund was carried out as at 31 March 2016 to determine the contribution rates with effect from 1 April 2017 to 31 March 2020.</w:t>
      </w:r>
    </w:p>
    <w:p w:rsidR="00731A5C" w:rsidRPr="001F5D26" w:rsidRDefault="00E56C9A" w:rsidP="00731A5C">
      <w:pPr>
        <w:rPr>
          <w:rFonts w:ascii="Arial" w:hAnsi="Arial" w:cs="Arial"/>
          <w:noProof/>
          <w:sz w:val="22"/>
          <w:szCs w:val="22"/>
          <w:lang w:eastAsia="en-GB"/>
        </w:rPr>
      </w:pPr>
    </w:p>
    <w:p w:rsidR="00731A5C" w:rsidRPr="001F5D26" w:rsidRDefault="00E56C9A" w:rsidP="00731A5C">
      <w:pPr>
        <w:pStyle w:val="Header"/>
        <w:tabs>
          <w:tab w:val="clear" w:pos="4153"/>
          <w:tab w:val="clear" w:pos="8306"/>
        </w:tabs>
        <w:spacing w:after="240"/>
        <w:rPr>
          <w:rFonts w:ascii="Arial" w:hAnsi="Arial" w:cs="Arial"/>
          <w:sz w:val="22"/>
          <w:szCs w:val="22"/>
        </w:rPr>
      </w:pPr>
      <w:r w:rsidRPr="001F5D26">
        <w:rPr>
          <w:rFonts w:ascii="Arial" w:hAnsi="Arial" w:cs="Arial"/>
          <w:sz w:val="22"/>
          <w:szCs w:val="22"/>
        </w:rPr>
        <w:t>On the basis of the assumptio</w:t>
      </w:r>
      <w:r w:rsidRPr="001F5D26">
        <w:rPr>
          <w:rFonts w:ascii="Arial" w:hAnsi="Arial" w:cs="Arial"/>
          <w:sz w:val="22"/>
          <w:szCs w:val="22"/>
        </w:rPr>
        <w:t>ns adopted, the Fund’s assets of £6,036 million represented 90% of the Fund’s past service liabilities of £6,726 million (the “Funding Target”) at the valuation date. The deficit at the valuation was therefore £690 million.</w:t>
      </w:r>
    </w:p>
    <w:p w:rsidR="00731A5C" w:rsidRPr="0065063D" w:rsidRDefault="00E56C9A" w:rsidP="00731A5C">
      <w:pPr>
        <w:pStyle w:val="Header"/>
        <w:tabs>
          <w:tab w:val="clear" w:pos="4153"/>
          <w:tab w:val="clear" w:pos="8306"/>
        </w:tabs>
        <w:spacing w:after="240"/>
      </w:pPr>
      <w:r w:rsidRPr="0065063D">
        <w:rPr>
          <w:noProof/>
          <w:lang w:eastAsia="en-GB"/>
        </w:rPr>
        <w:drawing>
          <wp:inline distT="0" distB="0" distL="0" distR="0">
            <wp:extent cx="512699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126990" cy="2743200"/>
                    </a:xfrm>
                    <a:prstGeom prst="rect">
                      <a:avLst/>
                    </a:prstGeom>
                    <a:noFill/>
                  </pic:spPr>
                </pic:pic>
              </a:graphicData>
            </a:graphic>
          </wp:inline>
        </w:drawing>
      </w:r>
    </w:p>
    <w:p w:rsidR="00731A5C" w:rsidRPr="001F5D26" w:rsidRDefault="00E56C9A" w:rsidP="00731A5C">
      <w:pPr>
        <w:pStyle w:val="Header"/>
        <w:tabs>
          <w:tab w:val="clear" w:pos="4153"/>
          <w:tab w:val="clear" w:pos="8306"/>
        </w:tabs>
        <w:spacing w:after="240"/>
        <w:rPr>
          <w:rFonts w:ascii="Arial" w:hAnsi="Arial" w:cs="Arial"/>
        </w:rPr>
      </w:pPr>
      <w:r w:rsidRPr="001F5D26">
        <w:rPr>
          <w:rFonts w:ascii="Arial" w:hAnsi="Arial" w:cs="Arial"/>
        </w:rPr>
        <w:t>The valuation also showed that a Primary contribution rate of 14.9% of pensionable pay per annum was required from employers. The Primary rate is calculated as being sufficient, together with contributions paid by members, to meet all liabilities arising i</w:t>
      </w:r>
      <w:r w:rsidRPr="001F5D26">
        <w:rPr>
          <w:rFonts w:ascii="Arial" w:hAnsi="Arial" w:cs="Arial"/>
        </w:rPr>
        <w:t xml:space="preserve">n respect of service after the valuation date. </w:t>
      </w:r>
    </w:p>
    <w:p w:rsidR="00731A5C" w:rsidRPr="001F5D26" w:rsidRDefault="00E56C9A" w:rsidP="00731A5C">
      <w:pPr>
        <w:pStyle w:val="Header"/>
        <w:tabs>
          <w:tab w:val="clear" w:pos="4153"/>
          <w:tab w:val="clear" w:pos="8306"/>
        </w:tabs>
        <w:spacing w:after="240"/>
        <w:rPr>
          <w:rFonts w:ascii="Arial" w:hAnsi="Arial" w:cs="Arial"/>
        </w:rPr>
      </w:pPr>
      <w:r w:rsidRPr="001F5D26">
        <w:rPr>
          <w:rFonts w:ascii="Arial" w:hAnsi="Arial" w:cs="Arial"/>
        </w:rPr>
        <w:t xml:space="preserve">The funding objective as set out in the Funding Strategy Statement (FSS) is to achieve and then maintain a solvency funding level of 100% of liabilities (the solvency funding target).  In line with the FSS, </w:t>
      </w:r>
      <w:r w:rsidRPr="001F5D26">
        <w:rPr>
          <w:rFonts w:ascii="Arial" w:hAnsi="Arial" w:cs="Arial"/>
        </w:rPr>
        <w:t>where a shortfall exists at the effective date of the valuation a deficit recovery plan will be put in place which requires additional contributions to correct the shortfall (or contribution reductions to refund any surplus).</w:t>
      </w:r>
    </w:p>
    <w:p w:rsidR="00731A5C" w:rsidRPr="00EC59F1" w:rsidRDefault="00E56C9A" w:rsidP="00731A5C">
      <w:pPr>
        <w:pStyle w:val="Header"/>
        <w:tabs>
          <w:tab w:val="clear" w:pos="4153"/>
          <w:tab w:val="clear" w:pos="8306"/>
        </w:tabs>
        <w:spacing w:after="240"/>
        <w:rPr>
          <w:rFonts w:ascii="Arial" w:hAnsi="Arial" w:cs="Arial"/>
        </w:rPr>
      </w:pPr>
      <w:r>
        <w:rPr>
          <w:noProof/>
          <w:lang w:eastAsia="en-GB"/>
        </w:rPr>
        <w:br w:type="page"/>
      </w:r>
      <w:r w:rsidRPr="00EC59F1">
        <w:rPr>
          <w:rFonts w:ascii="Arial" w:hAnsi="Arial" w:cs="Arial"/>
          <w:noProof/>
          <w:lang w:eastAsia="en-GB"/>
        </w:rPr>
        <w:lastRenderedPageBreak/>
        <w:t>The</w:t>
      </w:r>
      <w:r w:rsidRPr="00EC59F1">
        <w:rPr>
          <w:rFonts w:ascii="Arial" w:hAnsi="Arial" w:cs="Arial"/>
        </w:rPr>
        <w:t xml:space="preserve"> FSS sets out the process </w:t>
      </w:r>
      <w:r w:rsidRPr="00EC59F1">
        <w:rPr>
          <w:rFonts w:ascii="Arial" w:hAnsi="Arial" w:cs="Arial"/>
        </w:rPr>
        <w:t xml:space="preserve">for determining the recovery plan in respect of each employer.  At this actuarial valuation the average deficit recovery period is </w:t>
      </w:r>
      <w:r w:rsidRPr="00EC59F1">
        <w:rPr>
          <w:rFonts w:ascii="Arial" w:hAnsi="Arial" w:cs="Arial"/>
          <w:noProof/>
        </w:rPr>
        <w:t>16</w:t>
      </w:r>
      <w:r w:rsidRPr="00EC59F1">
        <w:rPr>
          <w:rFonts w:ascii="Arial" w:hAnsi="Arial" w:cs="Arial"/>
        </w:rPr>
        <w:t xml:space="preserve"> years, and the total initial recovery payment (the “Secondary rate”) for 2017/18 is approximately £41.5 </w:t>
      </w:r>
      <w:r w:rsidRPr="00EC59F1">
        <w:rPr>
          <w:rFonts w:ascii="Arial" w:hAnsi="Arial" w:cs="Arial"/>
          <w:noProof/>
        </w:rPr>
        <w:t xml:space="preserve">million. </w:t>
      </w:r>
      <w:r w:rsidRPr="00EC59F1">
        <w:rPr>
          <w:rFonts w:ascii="Arial" w:hAnsi="Arial" w:cs="Arial"/>
        </w:rPr>
        <w:t>The Secon</w:t>
      </w:r>
      <w:r w:rsidRPr="00EC59F1">
        <w:rPr>
          <w:rFonts w:ascii="Arial" w:hAnsi="Arial" w:cs="Arial"/>
        </w:rPr>
        <w:t>dary rate of the employer’s contribution is an adjustment to the Primary rate to arrive at the overall rate the employers are required to pay. For most employers, the Secondary rate will increase at 3.7% per annum.  Finally, some employers have opted to pr</w:t>
      </w:r>
      <w:r w:rsidRPr="00EC59F1">
        <w:rPr>
          <w:rFonts w:ascii="Arial" w:hAnsi="Arial" w:cs="Arial"/>
        </w:rPr>
        <w:t>epay their contributions, either on an annual basis each April or by paying all 3 years’ contributions in April 2017.  In each case, that contribution is reduced to reflect its earlier payment.</w:t>
      </w:r>
    </w:p>
    <w:p w:rsidR="00731A5C" w:rsidRPr="00EC59F1" w:rsidRDefault="00E56C9A" w:rsidP="00731A5C">
      <w:pPr>
        <w:rPr>
          <w:rFonts w:ascii="Arial" w:hAnsi="Arial" w:cs="Arial"/>
          <w:noProof/>
          <w:lang w:eastAsia="en-GB"/>
        </w:rPr>
      </w:pPr>
      <w:r w:rsidRPr="00EC59F1">
        <w:rPr>
          <w:rFonts w:ascii="Arial" w:hAnsi="Arial" w:cs="Arial"/>
          <w:noProof/>
          <w:lang w:eastAsia="en-GB"/>
        </w:rPr>
        <w:t>Further details regarding the results of the valuation are con</w:t>
      </w:r>
      <w:r w:rsidRPr="00EC59F1">
        <w:rPr>
          <w:rFonts w:ascii="Arial" w:hAnsi="Arial" w:cs="Arial"/>
          <w:noProof/>
          <w:lang w:eastAsia="en-GB"/>
        </w:rPr>
        <w:t xml:space="preserve">tained in the formal report on the actuarial valuation dated 31 March 2017. </w:t>
      </w:r>
    </w:p>
    <w:p w:rsidR="00731A5C" w:rsidRDefault="00E56C9A" w:rsidP="00731A5C"/>
    <w:p w:rsidR="00731A5C" w:rsidRPr="009C43B7" w:rsidRDefault="00E56C9A" w:rsidP="00731A5C">
      <w:pPr>
        <w:pStyle w:val="Header"/>
        <w:tabs>
          <w:tab w:val="clear" w:pos="4153"/>
          <w:tab w:val="clear" w:pos="8306"/>
        </w:tabs>
        <w:spacing w:after="240"/>
        <w:rPr>
          <w:rFonts w:ascii="Arial" w:hAnsi="Arial" w:cs="Arial"/>
        </w:rPr>
      </w:pPr>
      <w:r w:rsidRPr="009C43B7">
        <w:rPr>
          <w:rFonts w:ascii="Arial" w:hAnsi="Arial" w:cs="Arial"/>
        </w:rPr>
        <w:t>In practice, each individual employer’s position is assessed separately and the contributions required are set out in the report. In addition to the certified contribution rates,</w:t>
      </w:r>
      <w:r w:rsidRPr="009C43B7">
        <w:rPr>
          <w:rFonts w:ascii="Arial" w:hAnsi="Arial" w:cs="Arial"/>
        </w:rPr>
        <w:t xml:space="preserve"> payments to cover additional liabilities arising from early retirements (other than ill-health retirements) will be made to the Fund by the employers.</w:t>
      </w:r>
    </w:p>
    <w:p w:rsidR="00731A5C" w:rsidRPr="009C43B7" w:rsidRDefault="00E56C9A" w:rsidP="00731A5C">
      <w:pPr>
        <w:pStyle w:val="Header"/>
        <w:tabs>
          <w:tab w:val="clear" w:pos="4153"/>
          <w:tab w:val="clear" w:pos="8306"/>
        </w:tabs>
        <w:spacing w:after="240"/>
        <w:rPr>
          <w:rFonts w:ascii="Arial" w:hAnsi="Arial" w:cs="Arial"/>
        </w:rPr>
      </w:pPr>
      <w:r w:rsidRPr="009C43B7">
        <w:rPr>
          <w:rFonts w:ascii="Arial" w:hAnsi="Arial" w:cs="Arial"/>
        </w:rPr>
        <w:t>The funding plan adopted in assessing the contributions for each individual employer is in accordance wi</w:t>
      </w:r>
      <w:r w:rsidRPr="009C43B7">
        <w:rPr>
          <w:rFonts w:ascii="Arial" w:hAnsi="Arial" w:cs="Arial"/>
        </w:rPr>
        <w:t xml:space="preserve">th the Funding Strategy Statement (FSS). Any different approaches adopted, e.g. with regard to the implementation of contribution increases and deficit recovery periods, are as determined through the FSS consultation process. </w:t>
      </w:r>
    </w:p>
    <w:p w:rsidR="00731A5C" w:rsidRPr="009C43B7" w:rsidRDefault="00E56C9A" w:rsidP="00731A5C">
      <w:pPr>
        <w:pStyle w:val="Header"/>
        <w:tabs>
          <w:tab w:val="clear" w:pos="4153"/>
          <w:tab w:val="clear" w:pos="8306"/>
        </w:tabs>
        <w:rPr>
          <w:rFonts w:ascii="Arial" w:hAnsi="Arial" w:cs="Arial"/>
        </w:rPr>
      </w:pPr>
      <w:r w:rsidRPr="009C43B7">
        <w:rPr>
          <w:rFonts w:ascii="Arial" w:hAnsi="Arial" w:cs="Arial"/>
        </w:rPr>
        <w:t>The valuation was carried out</w:t>
      </w:r>
      <w:r w:rsidRPr="009C43B7">
        <w:rPr>
          <w:rFonts w:ascii="Arial" w:hAnsi="Arial" w:cs="Arial"/>
        </w:rPr>
        <w:t xml:space="preserve"> using the projected unit actuarial method and the main actuarial assumptions used for assessing the Funding Target and the Primary rate of contribution were as follows:</w:t>
      </w:r>
    </w:p>
    <w:p w:rsidR="00731A5C" w:rsidRDefault="00E56C9A" w:rsidP="00731A5C">
      <w:pPr>
        <w:pStyle w:val="Header"/>
        <w:tabs>
          <w:tab w:val="clear" w:pos="4153"/>
          <w:tab w:val="clear" w:pos="8306"/>
        </w:tabs>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2" w:type="dxa"/>
          <w:right w:w="72" w:type="dxa"/>
        </w:tblCellMar>
        <w:tblLook w:val="0000" w:firstRow="0" w:lastRow="0" w:firstColumn="0" w:lastColumn="0" w:noHBand="0" w:noVBand="0"/>
      </w:tblPr>
      <w:tblGrid>
        <w:gridCol w:w="4217"/>
        <w:gridCol w:w="2245"/>
        <w:gridCol w:w="2565"/>
      </w:tblGrid>
      <w:tr w:rsidR="00B368D6" w:rsidTr="00DF57A6">
        <w:trPr>
          <w:cantSplit/>
          <w:tblHeader/>
        </w:trPr>
        <w:tc>
          <w:tcPr>
            <w:tcW w:w="4217" w:type="dxa"/>
            <w:shd w:val="clear" w:color="auto" w:fill="002C77"/>
            <w:vAlign w:val="bottom"/>
          </w:tcPr>
          <w:p w:rsidR="00731A5C" w:rsidRPr="006D600B" w:rsidRDefault="00E56C9A" w:rsidP="00DF57A6">
            <w:pPr>
              <w:pStyle w:val="TableHeadingText"/>
              <w:rPr>
                <w:color w:val="FFFFFF"/>
              </w:rPr>
            </w:pPr>
          </w:p>
        </w:tc>
        <w:tc>
          <w:tcPr>
            <w:tcW w:w="2245" w:type="dxa"/>
            <w:shd w:val="clear" w:color="auto" w:fill="002C77"/>
            <w:vAlign w:val="bottom"/>
          </w:tcPr>
          <w:p w:rsidR="00731A5C" w:rsidRPr="006D600B" w:rsidRDefault="00E56C9A" w:rsidP="00DF57A6">
            <w:pPr>
              <w:pStyle w:val="TableHeadingText"/>
              <w:rPr>
                <w:color w:val="FFFFFF"/>
              </w:rPr>
            </w:pPr>
            <w:r w:rsidRPr="006D600B">
              <w:rPr>
                <w:color w:val="FFFFFF"/>
              </w:rPr>
              <w:t>For past service liabilities (Funding Target)</w:t>
            </w:r>
          </w:p>
        </w:tc>
        <w:tc>
          <w:tcPr>
            <w:tcW w:w="2565" w:type="dxa"/>
            <w:shd w:val="clear" w:color="auto" w:fill="002C77"/>
            <w:vAlign w:val="bottom"/>
          </w:tcPr>
          <w:p w:rsidR="00731A5C" w:rsidRPr="006D600B" w:rsidRDefault="00E56C9A" w:rsidP="00DF57A6">
            <w:pPr>
              <w:pStyle w:val="TableHeadingText"/>
              <w:rPr>
                <w:color w:val="FFFFFF"/>
              </w:rPr>
            </w:pPr>
            <w:r w:rsidRPr="006D600B">
              <w:rPr>
                <w:color w:val="FFFFFF"/>
              </w:rPr>
              <w:t>F</w:t>
            </w:r>
            <w:r>
              <w:rPr>
                <w:color w:val="FFFFFF"/>
              </w:rPr>
              <w:t>or future service liabilities (Primar</w:t>
            </w:r>
            <w:r>
              <w:rPr>
                <w:color w:val="FFFFFF"/>
              </w:rPr>
              <w:t>y rate of contribution</w:t>
            </w:r>
            <w:r w:rsidRPr="006D600B">
              <w:rPr>
                <w:color w:val="FFFFFF"/>
              </w:rPr>
              <w:t>)</w:t>
            </w:r>
          </w:p>
        </w:tc>
      </w:tr>
      <w:tr w:rsidR="00B368D6" w:rsidTr="00DF57A6">
        <w:trPr>
          <w:cantSplit/>
        </w:trPr>
        <w:tc>
          <w:tcPr>
            <w:tcW w:w="4217" w:type="dxa"/>
            <w:shd w:val="clear" w:color="auto" w:fill="F2F2F2"/>
          </w:tcPr>
          <w:p w:rsidR="00731A5C" w:rsidRPr="003B44AE" w:rsidRDefault="00E56C9A" w:rsidP="00DF57A6">
            <w:pPr>
              <w:pStyle w:val="TableText"/>
            </w:pPr>
            <w:r w:rsidRPr="003B44AE">
              <w:t>Rate of return on investments (discount rate)</w:t>
            </w:r>
          </w:p>
          <w:p w:rsidR="00731A5C" w:rsidRPr="003B44AE" w:rsidRDefault="00E56C9A" w:rsidP="00DF57A6">
            <w:pPr>
              <w:pStyle w:val="TableText"/>
              <w:spacing w:before="0" w:after="0"/>
            </w:pPr>
          </w:p>
        </w:tc>
        <w:tc>
          <w:tcPr>
            <w:tcW w:w="2245" w:type="dxa"/>
            <w:shd w:val="clear" w:color="auto" w:fill="F2F2F2"/>
          </w:tcPr>
          <w:p w:rsidR="00731A5C" w:rsidRPr="0065063D" w:rsidRDefault="00E56C9A" w:rsidP="00DF57A6">
            <w:pPr>
              <w:pStyle w:val="TableText"/>
              <w:spacing w:before="0" w:after="0"/>
            </w:pPr>
            <w:r w:rsidRPr="0065063D">
              <w:t>4.4% per annum</w:t>
            </w:r>
          </w:p>
        </w:tc>
        <w:tc>
          <w:tcPr>
            <w:tcW w:w="2565" w:type="dxa"/>
            <w:shd w:val="clear" w:color="auto" w:fill="F2F2F2"/>
          </w:tcPr>
          <w:p w:rsidR="00731A5C" w:rsidRPr="0065063D" w:rsidRDefault="00E56C9A" w:rsidP="00DF57A6">
            <w:pPr>
              <w:pStyle w:val="TableText"/>
              <w:spacing w:before="0" w:after="0"/>
            </w:pPr>
            <w:r w:rsidRPr="0065063D">
              <w:t>4.95% per annum</w:t>
            </w:r>
          </w:p>
          <w:p w:rsidR="00731A5C" w:rsidRPr="0065063D" w:rsidRDefault="00E56C9A" w:rsidP="00DF57A6">
            <w:pPr>
              <w:pStyle w:val="TableText"/>
              <w:spacing w:before="0" w:after="0"/>
            </w:pPr>
          </w:p>
        </w:tc>
      </w:tr>
      <w:tr w:rsidR="00B368D6" w:rsidTr="00DF57A6">
        <w:trPr>
          <w:cantSplit/>
        </w:trPr>
        <w:tc>
          <w:tcPr>
            <w:tcW w:w="4217" w:type="dxa"/>
            <w:shd w:val="clear" w:color="auto" w:fill="F2F2F2"/>
          </w:tcPr>
          <w:p w:rsidR="00731A5C" w:rsidRPr="003B44AE" w:rsidRDefault="00E56C9A" w:rsidP="00DF57A6">
            <w:pPr>
              <w:pStyle w:val="TableText"/>
            </w:pPr>
            <w:r w:rsidRPr="003B44AE">
              <w:t>Rate of pay increases</w:t>
            </w:r>
            <w:r>
              <w:t xml:space="preserve"> (long term)*</w:t>
            </w:r>
          </w:p>
        </w:tc>
        <w:tc>
          <w:tcPr>
            <w:tcW w:w="2245" w:type="dxa"/>
            <w:shd w:val="clear" w:color="auto" w:fill="F2F2F2"/>
          </w:tcPr>
          <w:p w:rsidR="00731A5C" w:rsidRPr="0065063D" w:rsidRDefault="00E56C9A" w:rsidP="00DF57A6">
            <w:pPr>
              <w:pStyle w:val="TableText"/>
            </w:pPr>
            <w:r w:rsidRPr="0065063D">
              <w:t>3.7% per annum</w:t>
            </w:r>
          </w:p>
        </w:tc>
        <w:tc>
          <w:tcPr>
            <w:tcW w:w="2565" w:type="dxa"/>
            <w:shd w:val="clear" w:color="auto" w:fill="F2F2F2"/>
          </w:tcPr>
          <w:p w:rsidR="00731A5C" w:rsidRPr="0065063D" w:rsidRDefault="00E56C9A" w:rsidP="00DF57A6">
            <w:pPr>
              <w:pStyle w:val="TableText"/>
            </w:pPr>
            <w:r w:rsidRPr="0065063D">
              <w:t>3.7% per annum</w:t>
            </w:r>
          </w:p>
        </w:tc>
      </w:tr>
      <w:tr w:rsidR="00B368D6" w:rsidTr="00DF57A6">
        <w:trPr>
          <w:cantSplit/>
        </w:trPr>
        <w:tc>
          <w:tcPr>
            <w:tcW w:w="4217" w:type="dxa"/>
            <w:shd w:val="clear" w:color="auto" w:fill="F2F2F2"/>
          </w:tcPr>
          <w:p w:rsidR="00731A5C" w:rsidRPr="003B44AE" w:rsidRDefault="00E56C9A" w:rsidP="00DF57A6">
            <w:pPr>
              <w:pStyle w:val="TableText"/>
              <w:spacing w:before="0" w:after="0"/>
            </w:pPr>
            <w:r w:rsidRPr="003B44AE">
              <w:t xml:space="preserve">Rate of increases in pensions </w:t>
            </w:r>
          </w:p>
          <w:p w:rsidR="00731A5C" w:rsidRPr="003B44AE" w:rsidRDefault="00E56C9A" w:rsidP="00DF57A6">
            <w:pPr>
              <w:pStyle w:val="TableText"/>
              <w:spacing w:before="0" w:after="0"/>
            </w:pPr>
            <w:r w:rsidRPr="003B44AE">
              <w:t xml:space="preserve">in payment (in excess of </w:t>
            </w:r>
          </w:p>
          <w:p w:rsidR="00731A5C" w:rsidRPr="003B44AE" w:rsidRDefault="00E56C9A" w:rsidP="00DF57A6">
            <w:pPr>
              <w:pStyle w:val="TableText"/>
              <w:spacing w:before="0" w:after="0"/>
            </w:pPr>
            <w:r w:rsidRPr="003B44AE">
              <w:t>Guaranteed Minimum Pension)</w:t>
            </w:r>
          </w:p>
        </w:tc>
        <w:tc>
          <w:tcPr>
            <w:tcW w:w="2245" w:type="dxa"/>
            <w:shd w:val="clear" w:color="auto" w:fill="F2F2F2"/>
            <w:vAlign w:val="center"/>
          </w:tcPr>
          <w:p w:rsidR="00731A5C" w:rsidRPr="0065063D" w:rsidRDefault="00E56C9A" w:rsidP="00DF57A6">
            <w:pPr>
              <w:pStyle w:val="TableText"/>
              <w:spacing w:before="0" w:after="0"/>
            </w:pPr>
            <w:r w:rsidRPr="0065063D">
              <w:t>2.2% per annum</w:t>
            </w:r>
          </w:p>
        </w:tc>
        <w:tc>
          <w:tcPr>
            <w:tcW w:w="2565" w:type="dxa"/>
            <w:shd w:val="clear" w:color="auto" w:fill="F2F2F2"/>
            <w:vAlign w:val="center"/>
          </w:tcPr>
          <w:p w:rsidR="00731A5C" w:rsidRPr="0065063D" w:rsidRDefault="00E56C9A" w:rsidP="00DF57A6">
            <w:pPr>
              <w:pStyle w:val="TableText"/>
              <w:spacing w:before="0" w:after="0"/>
            </w:pPr>
            <w:r w:rsidRPr="0065063D">
              <w:t>2.2% per annum</w:t>
            </w:r>
          </w:p>
        </w:tc>
      </w:tr>
    </w:tbl>
    <w:p w:rsidR="00EC59F1" w:rsidRDefault="00E56C9A" w:rsidP="00731A5C">
      <w:pPr>
        <w:pStyle w:val="Header"/>
        <w:tabs>
          <w:tab w:val="clear" w:pos="4153"/>
          <w:tab w:val="clear" w:pos="8306"/>
        </w:tabs>
        <w:spacing w:after="240"/>
        <w:rPr>
          <w:rFonts w:ascii="Arial" w:hAnsi="Arial" w:cs="Arial"/>
          <w:sz w:val="18"/>
          <w:szCs w:val="18"/>
        </w:rPr>
      </w:pPr>
    </w:p>
    <w:p w:rsidR="00731A5C" w:rsidRPr="00EC59F1" w:rsidRDefault="00E56C9A" w:rsidP="00731A5C">
      <w:pPr>
        <w:pStyle w:val="Header"/>
        <w:tabs>
          <w:tab w:val="clear" w:pos="4153"/>
          <w:tab w:val="clear" w:pos="8306"/>
        </w:tabs>
        <w:spacing w:after="240"/>
        <w:rPr>
          <w:rFonts w:ascii="Arial" w:hAnsi="Arial" w:cs="Arial"/>
          <w:sz w:val="18"/>
          <w:szCs w:val="18"/>
        </w:rPr>
      </w:pPr>
      <w:r w:rsidRPr="00EC59F1">
        <w:rPr>
          <w:rFonts w:ascii="Arial" w:hAnsi="Arial" w:cs="Arial"/>
          <w:sz w:val="18"/>
          <w:szCs w:val="18"/>
        </w:rPr>
        <w:t xml:space="preserve">* </w:t>
      </w:r>
      <w:proofErr w:type="gramStart"/>
      <w:r w:rsidRPr="00EC59F1">
        <w:rPr>
          <w:rFonts w:ascii="Arial" w:hAnsi="Arial" w:cs="Arial"/>
          <w:sz w:val="18"/>
          <w:szCs w:val="18"/>
        </w:rPr>
        <w:t>allowance</w:t>
      </w:r>
      <w:proofErr w:type="gramEnd"/>
      <w:r w:rsidRPr="00EC59F1">
        <w:rPr>
          <w:rFonts w:ascii="Arial" w:hAnsi="Arial" w:cs="Arial"/>
          <w:sz w:val="18"/>
          <w:szCs w:val="18"/>
        </w:rPr>
        <w:t xml:space="preserve"> was also made for short-term public sector pay restraint over a 4 year period.</w:t>
      </w:r>
    </w:p>
    <w:p w:rsidR="00731A5C" w:rsidRPr="00EC59F1" w:rsidRDefault="00E56C9A" w:rsidP="00731A5C">
      <w:pPr>
        <w:pStyle w:val="Header"/>
        <w:tabs>
          <w:tab w:val="clear" w:pos="4153"/>
          <w:tab w:val="clear" w:pos="8306"/>
        </w:tabs>
        <w:spacing w:after="240"/>
        <w:rPr>
          <w:rFonts w:ascii="Arial" w:hAnsi="Arial" w:cs="Arial"/>
        </w:rPr>
      </w:pPr>
      <w:r w:rsidRPr="00EC59F1">
        <w:rPr>
          <w:rFonts w:ascii="Arial" w:hAnsi="Arial" w:cs="Arial"/>
        </w:rPr>
        <w:t>The assets were assessed at market value.</w:t>
      </w:r>
    </w:p>
    <w:p w:rsidR="00731A5C" w:rsidRPr="00EC59F1" w:rsidRDefault="00E56C9A" w:rsidP="00731A5C">
      <w:pPr>
        <w:pStyle w:val="Header"/>
        <w:tabs>
          <w:tab w:val="clear" w:pos="4153"/>
          <w:tab w:val="clear" w:pos="8306"/>
        </w:tabs>
        <w:rPr>
          <w:rFonts w:ascii="Arial" w:hAnsi="Arial" w:cs="Arial"/>
        </w:rPr>
      </w:pPr>
      <w:r w:rsidRPr="00EC59F1">
        <w:rPr>
          <w:rFonts w:ascii="Arial" w:hAnsi="Arial" w:cs="Arial"/>
        </w:rPr>
        <w:t>The next triennial actuarial valuation of the Fund is due as at 31 March 2019. Based on the</w:t>
      </w:r>
      <w:r w:rsidRPr="00EC59F1">
        <w:rPr>
          <w:rFonts w:ascii="Arial" w:hAnsi="Arial" w:cs="Arial"/>
        </w:rPr>
        <w:t xml:space="preserve"> results of this valuation, the contribution rates payable by the individual employers will be revised with effect from 1 April 2020.</w:t>
      </w:r>
    </w:p>
    <w:p w:rsidR="00731A5C" w:rsidRDefault="00E56C9A" w:rsidP="00731A5C">
      <w:pPr>
        <w:pStyle w:val="Header"/>
        <w:tabs>
          <w:tab w:val="clear" w:pos="4153"/>
          <w:tab w:val="clear" w:pos="8306"/>
        </w:tabs>
        <w:rPr>
          <w:b/>
        </w:rPr>
      </w:pPr>
    </w:p>
    <w:p w:rsidR="00DC78E9" w:rsidRPr="00076CE1" w:rsidRDefault="00E56C9A" w:rsidP="00731A5C">
      <w:pPr>
        <w:autoSpaceDE w:val="0"/>
        <w:autoSpaceDN w:val="0"/>
        <w:adjustRightInd w:val="0"/>
        <w:ind w:left="567"/>
        <w:jc w:val="both"/>
        <w:rPr>
          <w:rFonts w:ascii="Arial" w:eastAsia="Arial Unicode MS" w:hAnsi="Arial" w:cs="Arial"/>
          <w:color w:val="000000"/>
          <w:sz w:val="22"/>
          <w:szCs w:val="22"/>
        </w:rPr>
      </w:pPr>
      <w:r>
        <w:rPr>
          <w:b/>
          <w:color w:val="4BACC6"/>
        </w:rPr>
        <w:br w:type="page"/>
      </w:r>
    </w:p>
    <w:p w:rsidR="00DC78E9" w:rsidRPr="00076CE1" w:rsidRDefault="00E56C9A" w:rsidP="00883473">
      <w:pPr>
        <w:autoSpaceDE w:val="0"/>
        <w:autoSpaceDN w:val="0"/>
        <w:adjustRightInd w:val="0"/>
        <w:jc w:val="both"/>
        <w:rPr>
          <w:rFonts w:ascii="Arial" w:eastAsia="Arial Unicode MS" w:hAnsi="Arial" w:cs="Arial"/>
          <w:b/>
          <w:color w:val="000000"/>
          <w:sz w:val="32"/>
          <w:szCs w:val="22"/>
        </w:rPr>
      </w:pPr>
      <w:r w:rsidRPr="00076CE1">
        <w:rPr>
          <w:rFonts w:ascii="Arial" w:eastAsia="Arial Unicode MS" w:hAnsi="Arial" w:cs="Arial"/>
          <w:b/>
          <w:color w:val="000000"/>
          <w:sz w:val="32"/>
          <w:szCs w:val="22"/>
        </w:rPr>
        <w:lastRenderedPageBreak/>
        <w:t>2</w:t>
      </w:r>
      <w:r>
        <w:rPr>
          <w:rFonts w:ascii="Arial" w:eastAsia="Arial Unicode MS" w:hAnsi="Arial" w:cs="Arial"/>
          <w:b/>
          <w:color w:val="000000"/>
          <w:sz w:val="32"/>
          <w:szCs w:val="22"/>
        </w:rPr>
        <w:t>6</w:t>
      </w:r>
      <w:proofErr w:type="gramStart"/>
      <w:r w:rsidRPr="00076CE1">
        <w:rPr>
          <w:rFonts w:ascii="Arial" w:eastAsia="Arial Unicode MS" w:hAnsi="Arial" w:cs="Arial"/>
          <w:b/>
          <w:color w:val="000000"/>
          <w:sz w:val="32"/>
          <w:szCs w:val="22"/>
        </w:rPr>
        <w:t>.</w:t>
      </w:r>
      <w:r w:rsidRPr="00076CE1">
        <w:rPr>
          <w:rFonts w:ascii="Arial" w:eastAsia="Arial Unicode MS" w:hAnsi="Arial" w:cs="Arial"/>
          <w:b/>
          <w:color w:val="000000"/>
          <w:sz w:val="32"/>
          <w:szCs w:val="22"/>
        </w:rPr>
        <w:t>ACTUARIAL</w:t>
      </w:r>
      <w:proofErr w:type="gramEnd"/>
      <w:r w:rsidRPr="00076CE1">
        <w:rPr>
          <w:rFonts w:ascii="Arial" w:eastAsia="Arial Unicode MS" w:hAnsi="Arial" w:cs="Arial"/>
          <w:b/>
          <w:color w:val="000000"/>
          <w:sz w:val="32"/>
          <w:szCs w:val="22"/>
        </w:rPr>
        <w:t xml:space="preserve"> PRESENT VALUE OF PROMISED RETIREMENT BENEFITS </w:t>
      </w:r>
    </w:p>
    <w:p w:rsidR="00DC78E9" w:rsidRPr="00076CE1" w:rsidRDefault="00E56C9A" w:rsidP="00DC78E9">
      <w:pPr>
        <w:autoSpaceDE w:val="0"/>
        <w:autoSpaceDN w:val="0"/>
        <w:adjustRightInd w:val="0"/>
        <w:ind w:left="567"/>
        <w:jc w:val="both"/>
        <w:rPr>
          <w:rFonts w:ascii="Arial" w:eastAsia="Arial Unicode MS" w:hAnsi="Arial" w:cs="Arial"/>
          <w:color w:val="000000"/>
          <w:sz w:val="22"/>
          <w:szCs w:val="22"/>
        </w:rPr>
      </w:pPr>
    </w:p>
    <w:p w:rsidR="00812E57" w:rsidRPr="00EC59F1" w:rsidRDefault="00E56C9A" w:rsidP="00812E57">
      <w:pPr>
        <w:pStyle w:val="Header"/>
        <w:rPr>
          <w:rFonts w:ascii="Arial" w:hAnsi="Arial" w:cs="Arial"/>
        </w:rPr>
      </w:pPr>
      <w:r w:rsidRPr="00EC59F1">
        <w:rPr>
          <w:rFonts w:ascii="Arial" w:hAnsi="Arial" w:cs="Arial"/>
        </w:rPr>
        <w:t xml:space="preserve">IAS 26 requires the present value of the Fund’s promised </w:t>
      </w:r>
      <w:r w:rsidRPr="00EC59F1">
        <w:rPr>
          <w:rFonts w:ascii="Arial" w:hAnsi="Arial" w:cs="Arial"/>
        </w:rPr>
        <w:t>retirement benefits to be disclosed, and for this purpose the actuarial assumptions and methodology used should be based on IAS 19 rather than the assumptions and methodology used for funding purposes.</w:t>
      </w:r>
    </w:p>
    <w:p w:rsidR="00812E57" w:rsidRPr="00EC59F1" w:rsidRDefault="00E56C9A" w:rsidP="00812E57">
      <w:pPr>
        <w:pStyle w:val="Header"/>
        <w:rPr>
          <w:rFonts w:ascii="Arial" w:hAnsi="Arial" w:cs="Arial"/>
        </w:rPr>
      </w:pPr>
    </w:p>
    <w:p w:rsidR="00812E57" w:rsidRPr="00EC59F1" w:rsidRDefault="00E56C9A" w:rsidP="00812E57">
      <w:pPr>
        <w:pStyle w:val="Header"/>
        <w:rPr>
          <w:rFonts w:ascii="Arial" w:hAnsi="Arial" w:cs="Arial"/>
        </w:rPr>
      </w:pPr>
      <w:r w:rsidRPr="00EC59F1">
        <w:rPr>
          <w:rFonts w:ascii="Arial" w:hAnsi="Arial" w:cs="Arial"/>
        </w:rPr>
        <w:t>To assess the value of the benefits on this basis, we</w:t>
      </w:r>
      <w:r w:rsidRPr="00EC59F1">
        <w:rPr>
          <w:rFonts w:ascii="Arial" w:hAnsi="Arial" w:cs="Arial"/>
        </w:rPr>
        <w:t xml:space="preserve"> have used the following financial assumptions as at 31 March 2017 (the 31 March 2016 assumptions are included for comparison):</w:t>
      </w:r>
    </w:p>
    <w:p w:rsidR="00812E57" w:rsidRDefault="00E56C9A" w:rsidP="00812E57">
      <w:pPr>
        <w:pStyle w:val="Header"/>
      </w:pPr>
    </w:p>
    <w:tbl>
      <w:tblPr>
        <w:tblW w:w="0" w:type="auto"/>
        <w:tblInd w:w="108" w:type="dxa"/>
        <w:tblCellMar>
          <w:left w:w="0" w:type="dxa"/>
          <w:right w:w="0" w:type="dxa"/>
        </w:tblCellMar>
        <w:tblLook w:val="04A0" w:firstRow="1" w:lastRow="0" w:firstColumn="1" w:lastColumn="0" w:noHBand="0" w:noVBand="1"/>
      </w:tblPr>
      <w:tblGrid>
        <w:gridCol w:w="4186"/>
        <w:gridCol w:w="2198"/>
        <w:gridCol w:w="2534"/>
      </w:tblGrid>
      <w:tr w:rsidR="00B368D6" w:rsidTr="00DF57A6">
        <w:trPr>
          <w:cantSplit/>
          <w:tblHeader/>
        </w:trPr>
        <w:tc>
          <w:tcPr>
            <w:tcW w:w="4239" w:type="dxa"/>
            <w:tcBorders>
              <w:top w:val="nil"/>
              <w:left w:val="nil"/>
              <w:bottom w:val="single" w:sz="8" w:space="0" w:color="FFFFFF"/>
              <w:right w:val="nil"/>
            </w:tcBorders>
            <w:shd w:val="clear" w:color="auto" w:fill="002C77"/>
            <w:tcMar>
              <w:top w:w="0" w:type="dxa"/>
              <w:left w:w="72" w:type="dxa"/>
              <w:bottom w:w="0" w:type="dxa"/>
              <w:right w:w="72" w:type="dxa"/>
            </w:tcMar>
            <w:vAlign w:val="bottom"/>
          </w:tcPr>
          <w:p w:rsidR="00812E57" w:rsidRDefault="00E56C9A" w:rsidP="00DF57A6">
            <w:pPr>
              <w:pStyle w:val="TableHeadingText"/>
              <w:spacing w:line="276" w:lineRule="auto"/>
              <w:rPr>
                <w:color w:val="FFFFFF"/>
              </w:rPr>
            </w:pPr>
          </w:p>
        </w:tc>
        <w:tc>
          <w:tcPr>
            <w:tcW w:w="2223" w:type="dxa"/>
            <w:tcBorders>
              <w:top w:val="nil"/>
              <w:left w:val="nil"/>
              <w:bottom w:val="single" w:sz="8" w:space="0" w:color="FFFFFF"/>
              <w:right w:val="nil"/>
            </w:tcBorders>
            <w:shd w:val="clear" w:color="auto" w:fill="002C77"/>
            <w:tcMar>
              <w:top w:w="0" w:type="dxa"/>
              <w:left w:w="72" w:type="dxa"/>
              <w:bottom w:w="0" w:type="dxa"/>
              <w:right w:w="72" w:type="dxa"/>
            </w:tcMar>
            <w:vAlign w:val="bottom"/>
            <w:hideMark/>
          </w:tcPr>
          <w:p w:rsidR="00812E57" w:rsidRDefault="00E56C9A" w:rsidP="00DF57A6">
            <w:pPr>
              <w:pStyle w:val="TableHeadingText"/>
              <w:spacing w:line="276" w:lineRule="auto"/>
              <w:rPr>
                <w:color w:val="FFFFFF"/>
              </w:rPr>
            </w:pPr>
            <w:r>
              <w:rPr>
                <w:color w:val="FFFFFF"/>
              </w:rPr>
              <w:t>31 March 2016</w:t>
            </w:r>
          </w:p>
        </w:tc>
        <w:tc>
          <w:tcPr>
            <w:tcW w:w="2565" w:type="dxa"/>
            <w:tcBorders>
              <w:top w:val="nil"/>
              <w:left w:val="nil"/>
              <w:bottom w:val="single" w:sz="8" w:space="0" w:color="FFFFFF"/>
              <w:right w:val="nil"/>
            </w:tcBorders>
            <w:shd w:val="clear" w:color="auto" w:fill="002C77"/>
            <w:tcMar>
              <w:top w:w="0" w:type="dxa"/>
              <w:left w:w="72" w:type="dxa"/>
              <w:bottom w:w="0" w:type="dxa"/>
              <w:right w:w="72" w:type="dxa"/>
            </w:tcMar>
            <w:vAlign w:val="bottom"/>
            <w:hideMark/>
          </w:tcPr>
          <w:p w:rsidR="00812E57" w:rsidRDefault="00E56C9A" w:rsidP="00DF57A6">
            <w:pPr>
              <w:pStyle w:val="TableHeadingText"/>
              <w:spacing w:line="276" w:lineRule="auto"/>
              <w:rPr>
                <w:color w:val="FFFFFF"/>
              </w:rPr>
            </w:pPr>
            <w:r>
              <w:rPr>
                <w:color w:val="FFFFFF"/>
              </w:rPr>
              <w:t>31 March 2017</w:t>
            </w:r>
          </w:p>
        </w:tc>
      </w:tr>
      <w:tr w:rsidR="00B368D6" w:rsidTr="00DF57A6">
        <w:trPr>
          <w:cantSplit/>
        </w:trPr>
        <w:tc>
          <w:tcPr>
            <w:tcW w:w="4239" w:type="dxa"/>
            <w:tcBorders>
              <w:top w:val="nil"/>
              <w:left w:val="single" w:sz="8" w:space="0" w:color="FFFFFF"/>
              <w:bottom w:val="single" w:sz="8" w:space="0" w:color="FFFFFF"/>
              <w:right w:val="single" w:sz="8" w:space="0" w:color="FFFFFF"/>
            </w:tcBorders>
            <w:shd w:val="clear" w:color="auto" w:fill="F2F2F2"/>
            <w:tcMar>
              <w:top w:w="0" w:type="dxa"/>
              <w:left w:w="72" w:type="dxa"/>
              <w:bottom w:w="0" w:type="dxa"/>
              <w:right w:w="72" w:type="dxa"/>
            </w:tcMar>
            <w:hideMark/>
          </w:tcPr>
          <w:p w:rsidR="00812E57" w:rsidRPr="0065063D" w:rsidRDefault="00E56C9A" w:rsidP="00DF57A6">
            <w:pPr>
              <w:pStyle w:val="TableText"/>
              <w:spacing w:line="276" w:lineRule="auto"/>
            </w:pPr>
            <w:r w:rsidRPr="0065063D">
              <w:t>Rate of return on investments (discount rate)</w:t>
            </w:r>
          </w:p>
        </w:tc>
        <w:tc>
          <w:tcPr>
            <w:tcW w:w="2223" w:type="dxa"/>
            <w:tcBorders>
              <w:top w:val="nil"/>
              <w:left w:val="nil"/>
              <w:bottom w:val="single" w:sz="8" w:space="0" w:color="FFFFFF"/>
              <w:right w:val="single" w:sz="8" w:space="0" w:color="FFFFFF"/>
            </w:tcBorders>
            <w:shd w:val="clear" w:color="auto" w:fill="F2F2F2"/>
            <w:tcMar>
              <w:top w:w="0" w:type="dxa"/>
              <w:left w:w="72" w:type="dxa"/>
              <w:bottom w:w="0" w:type="dxa"/>
              <w:right w:w="72" w:type="dxa"/>
            </w:tcMar>
            <w:hideMark/>
          </w:tcPr>
          <w:p w:rsidR="00812E57" w:rsidRPr="0065063D" w:rsidRDefault="00E56C9A" w:rsidP="00DF57A6">
            <w:pPr>
              <w:pStyle w:val="TableText"/>
              <w:spacing w:before="0" w:after="0" w:line="276" w:lineRule="auto"/>
            </w:pPr>
            <w:r w:rsidRPr="0065063D">
              <w:t>3.6% per annum</w:t>
            </w:r>
          </w:p>
        </w:tc>
        <w:tc>
          <w:tcPr>
            <w:tcW w:w="2565" w:type="dxa"/>
            <w:tcBorders>
              <w:top w:val="nil"/>
              <w:left w:val="nil"/>
              <w:bottom w:val="single" w:sz="8" w:space="0" w:color="FFFFFF"/>
              <w:right w:val="single" w:sz="8" w:space="0" w:color="FFFFFF"/>
            </w:tcBorders>
            <w:shd w:val="clear" w:color="auto" w:fill="F2F2F2"/>
            <w:tcMar>
              <w:top w:w="0" w:type="dxa"/>
              <w:left w:w="72" w:type="dxa"/>
              <w:bottom w:w="0" w:type="dxa"/>
              <w:right w:w="72" w:type="dxa"/>
            </w:tcMar>
            <w:hideMark/>
          </w:tcPr>
          <w:p w:rsidR="00812E57" w:rsidRDefault="00E56C9A" w:rsidP="00DF57A6">
            <w:pPr>
              <w:pStyle w:val="TableText"/>
              <w:spacing w:before="0" w:after="0" w:line="276" w:lineRule="auto"/>
            </w:pPr>
            <w:r>
              <w:t>2.5% per annum</w:t>
            </w:r>
          </w:p>
        </w:tc>
      </w:tr>
      <w:tr w:rsidR="00B368D6" w:rsidTr="00DF57A6">
        <w:trPr>
          <w:cantSplit/>
        </w:trPr>
        <w:tc>
          <w:tcPr>
            <w:tcW w:w="4239" w:type="dxa"/>
            <w:tcBorders>
              <w:top w:val="nil"/>
              <w:left w:val="single" w:sz="8" w:space="0" w:color="FFFFFF"/>
              <w:bottom w:val="single" w:sz="8" w:space="0" w:color="FFFFFF"/>
              <w:right w:val="single" w:sz="8" w:space="0" w:color="FFFFFF"/>
            </w:tcBorders>
            <w:shd w:val="clear" w:color="auto" w:fill="F2F2F2"/>
            <w:tcMar>
              <w:top w:w="0" w:type="dxa"/>
              <w:left w:w="72" w:type="dxa"/>
              <w:bottom w:w="0" w:type="dxa"/>
              <w:right w:w="72" w:type="dxa"/>
            </w:tcMar>
            <w:hideMark/>
          </w:tcPr>
          <w:p w:rsidR="00812E57" w:rsidRPr="0065063D" w:rsidRDefault="00E56C9A" w:rsidP="00DF57A6">
            <w:pPr>
              <w:pStyle w:val="TableText"/>
              <w:spacing w:line="276" w:lineRule="auto"/>
            </w:pPr>
            <w:r w:rsidRPr="0065063D">
              <w:t xml:space="preserve">Rate of pay </w:t>
            </w:r>
            <w:r w:rsidRPr="0065063D">
              <w:t>increases*</w:t>
            </w:r>
          </w:p>
        </w:tc>
        <w:tc>
          <w:tcPr>
            <w:tcW w:w="2223" w:type="dxa"/>
            <w:tcBorders>
              <w:top w:val="nil"/>
              <w:left w:val="nil"/>
              <w:bottom w:val="single" w:sz="8" w:space="0" w:color="FFFFFF"/>
              <w:right w:val="single" w:sz="8" w:space="0" w:color="FFFFFF"/>
            </w:tcBorders>
            <w:shd w:val="clear" w:color="auto" w:fill="F2F2F2"/>
            <w:tcMar>
              <w:top w:w="0" w:type="dxa"/>
              <w:left w:w="72" w:type="dxa"/>
              <w:bottom w:w="0" w:type="dxa"/>
              <w:right w:w="72" w:type="dxa"/>
            </w:tcMar>
            <w:hideMark/>
          </w:tcPr>
          <w:p w:rsidR="00812E57" w:rsidRPr="0065063D" w:rsidRDefault="00E56C9A" w:rsidP="00DF57A6">
            <w:pPr>
              <w:pStyle w:val="TableText"/>
              <w:spacing w:line="276" w:lineRule="auto"/>
            </w:pPr>
            <w:r w:rsidRPr="0065063D">
              <w:t>3.5% per annum</w:t>
            </w:r>
          </w:p>
        </w:tc>
        <w:tc>
          <w:tcPr>
            <w:tcW w:w="2565" w:type="dxa"/>
            <w:tcBorders>
              <w:top w:val="nil"/>
              <w:left w:val="nil"/>
              <w:bottom w:val="single" w:sz="8" w:space="0" w:color="FFFFFF"/>
              <w:right w:val="single" w:sz="8" w:space="0" w:color="FFFFFF"/>
            </w:tcBorders>
            <w:shd w:val="clear" w:color="auto" w:fill="F2F2F2"/>
            <w:tcMar>
              <w:top w:w="0" w:type="dxa"/>
              <w:left w:w="72" w:type="dxa"/>
              <w:bottom w:w="0" w:type="dxa"/>
              <w:right w:w="72" w:type="dxa"/>
            </w:tcMar>
            <w:hideMark/>
          </w:tcPr>
          <w:p w:rsidR="00812E57" w:rsidRDefault="00E56C9A" w:rsidP="00DF57A6">
            <w:pPr>
              <w:pStyle w:val="TableText"/>
              <w:spacing w:line="276" w:lineRule="auto"/>
            </w:pPr>
            <w:r>
              <w:t>3.8% per annum</w:t>
            </w:r>
          </w:p>
        </w:tc>
      </w:tr>
      <w:tr w:rsidR="00B368D6" w:rsidTr="00DF57A6">
        <w:trPr>
          <w:cantSplit/>
        </w:trPr>
        <w:tc>
          <w:tcPr>
            <w:tcW w:w="4239" w:type="dxa"/>
            <w:tcBorders>
              <w:top w:val="nil"/>
              <w:left w:val="single" w:sz="8" w:space="0" w:color="FFFFFF"/>
              <w:bottom w:val="single" w:sz="8" w:space="0" w:color="FFFFFF"/>
              <w:right w:val="single" w:sz="8" w:space="0" w:color="FFFFFF"/>
            </w:tcBorders>
            <w:shd w:val="clear" w:color="auto" w:fill="F2F2F2"/>
            <w:tcMar>
              <w:top w:w="0" w:type="dxa"/>
              <w:left w:w="72" w:type="dxa"/>
              <w:bottom w:w="0" w:type="dxa"/>
              <w:right w:w="72" w:type="dxa"/>
            </w:tcMar>
            <w:hideMark/>
          </w:tcPr>
          <w:p w:rsidR="00812E57" w:rsidRPr="0065063D" w:rsidRDefault="00E56C9A" w:rsidP="00DF57A6">
            <w:pPr>
              <w:pStyle w:val="TableText"/>
              <w:spacing w:before="0" w:after="0" w:line="276" w:lineRule="auto"/>
              <w:rPr>
                <w:rFonts w:eastAsia="Calibri"/>
              </w:rPr>
            </w:pPr>
            <w:r w:rsidRPr="0065063D">
              <w:t xml:space="preserve">Rate of increases in pensions </w:t>
            </w:r>
          </w:p>
          <w:p w:rsidR="00812E57" w:rsidRPr="0065063D" w:rsidRDefault="00E56C9A" w:rsidP="00DF57A6">
            <w:pPr>
              <w:pStyle w:val="TableText"/>
              <w:spacing w:before="0" w:after="0" w:line="276" w:lineRule="auto"/>
            </w:pPr>
            <w:r w:rsidRPr="0065063D">
              <w:t xml:space="preserve">in payment (in excess of </w:t>
            </w:r>
          </w:p>
          <w:p w:rsidR="00812E57" w:rsidRPr="0065063D" w:rsidRDefault="00E56C9A" w:rsidP="00DF57A6">
            <w:pPr>
              <w:pStyle w:val="TableText"/>
              <w:spacing w:before="0" w:after="0" w:line="276" w:lineRule="auto"/>
            </w:pPr>
            <w:r w:rsidRPr="0065063D">
              <w:t>Guaranteed Minimum Pension)</w:t>
            </w:r>
          </w:p>
        </w:tc>
        <w:tc>
          <w:tcPr>
            <w:tcW w:w="2223" w:type="dxa"/>
            <w:tcBorders>
              <w:top w:val="nil"/>
              <w:left w:val="nil"/>
              <w:bottom w:val="single" w:sz="8" w:space="0" w:color="FFFFFF"/>
              <w:right w:val="single" w:sz="8" w:space="0" w:color="FFFFFF"/>
            </w:tcBorders>
            <w:shd w:val="clear" w:color="auto" w:fill="F2F2F2"/>
            <w:tcMar>
              <w:top w:w="0" w:type="dxa"/>
              <w:left w:w="72" w:type="dxa"/>
              <w:bottom w:w="0" w:type="dxa"/>
              <w:right w:w="72" w:type="dxa"/>
            </w:tcMar>
            <w:vAlign w:val="center"/>
            <w:hideMark/>
          </w:tcPr>
          <w:p w:rsidR="00812E57" w:rsidRPr="0065063D" w:rsidRDefault="00E56C9A" w:rsidP="00DF57A6">
            <w:pPr>
              <w:pStyle w:val="TableText"/>
              <w:spacing w:before="0" w:after="0" w:line="276" w:lineRule="auto"/>
            </w:pPr>
            <w:r w:rsidRPr="0065063D">
              <w:t>2.0% per annum</w:t>
            </w:r>
          </w:p>
        </w:tc>
        <w:tc>
          <w:tcPr>
            <w:tcW w:w="2565" w:type="dxa"/>
            <w:tcBorders>
              <w:top w:val="nil"/>
              <w:left w:val="nil"/>
              <w:bottom w:val="single" w:sz="8" w:space="0" w:color="FFFFFF"/>
              <w:right w:val="single" w:sz="8" w:space="0" w:color="FFFFFF"/>
            </w:tcBorders>
            <w:shd w:val="clear" w:color="auto" w:fill="F2F2F2"/>
            <w:tcMar>
              <w:top w:w="0" w:type="dxa"/>
              <w:left w:w="72" w:type="dxa"/>
              <w:bottom w:w="0" w:type="dxa"/>
              <w:right w:w="72" w:type="dxa"/>
            </w:tcMar>
            <w:vAlign w:val="center"/>
            <w:hideMark/>
          </w:tcPr>
          <w:p w:rsidR="00812E57" w:rsidRDefault="00E56C9A" w:rsidP="00DF57A6">
            <w:pPr>
              <w:pStyle w:val="TableText"/>
              <w:spacing w:before="0" w:after="0" w:line="276" w:lineRule="auto"/>
            </w:pPr>
            <w:r w:rsidRPr="0065063D">
              <w:t>2.3% per</w:t>
            </w:r>
            <w:r>
              <w:t xml:space="preserve"> annum</w:t>
            </w:r>
          </w:p>
        </w:tc>
      </w:tr>
    </w:tbl>
    <w:p w:rsidR="00EC59F1" w:rsidRDefault="00E56C9A" w:rsidP="00812E57">
      <w:pPr>
        <w:pStyle w:val="Header"/>
        <w:rPr>
          <w:rFonts w:ascii="Arial" w:hAnsi="Arial" w:cs="Arial"/>
          <w:sz w:val="18"/>
          <w:szCs w:val="18"/>
        </w:rPr>
      </w:pPr>
    </w:p>
    <w:p w:rsidR="00812E57" w:rsidRPr="00EC59F1" w:rsidRDefault="00E56C9A" w:rsidP="00812E57">
      <w:pPr>
        <w:pStyle w:val="Header"/>
        <w:rPr>
          <w:rFonts w:ascii="Arial" w:eastAsia="Calibri" w:hAnsi="Arial" w:cs="Arial"/>
          <w:sz w:val="18"/>
          <w:szCs w:val="18"/>
        </w:rPr>
      </w:pPr>
      <w:r w:rsidRPr="00EC59F1">
        <w:rPr>
          <w:rFonts w:ascii="Arial" w:hAnsi="Arial" w:cs="Arial"/>
          <w:sz w:val="18"/>
          <w:szCs w:val="18"/>
        </w:rPr>
        <w:t xml:space="preserve">* includes a corresponding allowance to that made in the latest formal actuarial valuation for </w:t>
      </w:r>
      <w:r w:rsidRPr="00EC59F1">
        <w:rPr>
          <w:rFonts w:ascii="Arial" w:hAnsi="Arial" w:cs="Arial"/>
          <w:sz w:val="18"/>
          <w:szCs w:val="18"/>
        </w:rPr>
        <w:t>short-term public sector pay restraint.</w:t>
      </w:r>
    </w:p>
    <w:p w:rsidR="00812E57" w:rsidRDefault="00E56C9A" w:rsidP="00812E57">
      <w:pPr>
        <w:pStyle w:val="Header"/>
        <w:rPr>
          <w:sz w:val="16"/>
          <w:szCs w:val="16"/>
        </w:rPr>
      </w:pPr>
    </w:p>
    <w:p w:rsidR="00812E57" w:rsidRPr="009C43B7" w:rsidRDefault="00E56C9A" w:rsidP="00812E57">
      <w:pPr>
        <w:pStyle w:val="Header"/>
        <w:rPr>
          <w:rFonts w:ascii="Arial" w:hAnsi="Arial" w:cs="Arial"/>
        </w:rPr>
      </w:pPr>
      <w:r w:rsidRPr="009C43B7">
        <w:rPr>
          <w:rFonts w:ascii="Arial" w:hAnsi="Arial" w:cs="Arial"/>
        </w:rPr>
        <w:t>The demographic assumptions are the same as those used for funding purposes. Full details of these assumptions are set out in the formal report on the actuarial valuation dated March 2017.</w:t>
      </w:r>
    </w:p>
    <w:p w:rsidR="00812E57" w:rsidRPr="009C43B7" w:rsidRDefault="00E56C9A" w:rsidP="00812E57">
      <w:pPr>
        <w:pStyle w:val="Header"/>
        <w:rPr>
          <w:rFonts w:ascii="Arial" w:hAnsi="Arial" w:cs="Arial"/>
        </w:rPr>
      </w:pPr>
    </w:p>
    <w:p w:rsidR="00812E57" w:rsidRPr="009C43B7" w:rsidRDefault="00E56C9A" w:rsidP="00812E57">
      <w:pPr>
        <w:pStyle w:val="Header"/>
        <w:rPr>
          <w:rFonts w:ascii="Arial" w:hAnsi="Arial" w:cs="Arial"/>
        </w:rPr>
      </w:pPr>
      <w:r w:rsidRPr="009C43B7">
        <w:rPr>
          <w:rFonts w:ascii="Arial" w:hAnsi="Arial" w:cs="Arial"/>
        </w:rPr>
        <w:t>During the year, corporat</w:t>
      </w:r>
      <w:r w:rsidRPr="009C43B7">
        <w:rPr>
          <w:rFonts w:ascii="Arial" w:hAnsi="Arial" w:cs="Arial"/>
        </w:rPr>
        <w:t xml:space="preserve">e bond yields fell, resulting in a </w:t>
      </w:r>
      <w:r w:rsidRPr="009C43B7">
        <w:rPr>
          <w:rFonts w:ascii="Arial" w:hAnsi="Arial" w:cs="Arial"/>
          <w:color w:val="000000"/>
        </w:rPr>
        <w:t>lower</w:t>
      </w:r>
      <w:r w:rsidRPr="009C43B7">
        <w:rPr>
          <w:rFonts w:ascii="Arial" w:hAnsi="Arial" w:cs="Arial"/>
        </w:rPr>
        <w:t xml:space="preserve"> discount rate being used for IAS 26 purposes at the </w:t>
      </w:r>
      <w:proofErr w:type="spellStart"/>
      <w:r w:rsidRPr="009C43B7">
        <w:rPr>
          <w:rFonts w:ascii="Arial" w:hAnsi="Arial" w:cs="Arial"/>
        </w:rPr>
        <w:t>year end</w:t>
      </w:r>
      <w:proofErr w:type="spellEnd"/>
      <w:r w:rsidRPr="009C43B7">
        <w:rPr>
          <w:rFonts w:ascii="Arial" w:hAnsi="Arial" w:cs="Arial"/>
        </w:rPr>
        <w:t xml:space="preserve"> than at the beginning of the year (2.5% p.a. versus 3.6% p.a.). The expected long-term rate of CPI inflation increased during the year, from 2.0% p.a. to </w:t>
      </w:r>
      <w:r w:rsidRPr="009C43B7">
        <w:rPr>
          <w:rFonts w:ascii="Arial" w:hAnsi="Arial" w:cs="Arial"/>
        </w:rPr>
        <w:t xml:space="preserve">2.3%.  Both of these factors combined served to significantly increase the liabilities over the year.   The pay increase assumption at the </w:t>
      </w:r>
      <w:proofErr w:type="spellStart"/>
      <w:r w:rsidRPr="009C43B7">
        <w:rPr>
          <w:rFonts w:ascii="Arial" w:hAnsi="Arial" w:cs="Arial"/>
        </w:rPr>
        <w:t>year end</w:t>
      </w:r>
      <w:proofErr w:type="spellEnd"/>
      <w:r w:rsidRPr="009C43B7">
        <w:rPr>
          <w:rFonts w:ascii="Arial" w:hAnsi="Arial" w:cs="Arial"/>
        </w:rPr>
        <w:t xml:space="preserve"> has also changed to allow for short-term public sector pay restraint, which serves to reduce the liabilities</w:t>
      </w:r>
      <w:r w:rsidRPr="009C43B7">
        <w:rPr>
          <w:rFonts w:ascii="Arial" w:hAnsi="Arial" w:cs="Arial"/>
        </w:rPr>
        <w:t xml:space="preserve">. </w:t>
      </w:r>
    </w:p>
    <w:p w:rsidR="00812E57" w:rsidRPr="009C43B7" w:rsidRDefault="00E56C9A" w:rsidP="00812E57">
      <w:pPr>
        <w:pStyle w:val="Header"/>
        <w:rPr>
          <w:rFonts w:ascii="Arial" w:hAnsi="Arial" w:cs="Arial"/>
        </w:rPr>
      </w:pPr>
    </w:p>
    <w:p w:rsidR="00812E57" w:rsidRPr="00EC59F1" w:rsidRDefault="00E56C9A" w:rsidP="00812E57">
      <w:pPr>
        <w:rPr>
          <w:rFonts w:ascii="Arial" w:hAnsi="Arial" w:cs="Arial"/>
        </w:rPr>
      </w:pPr>
      <w:r w:rsidRPr="009C43B7">
        <w:rPr>
          <w:rFonts w:ascii="Arial" w:hAnsi="Arial" w:cs="Arial"/>
        </w:rPr>
        <w:t xml:space="preserve">The value of the Fund’s promised retirement benefits for the purposes of IAS 26 as at 31 March 2016 was estimated as £8,106 million. </w:t>
      </w:r>
      <w:r w:rsidRPr="009C43B7">
        <w:rPr>
          <w:rFonts w:ascii="Arial" w:hAnsi="Arial" w:cs="Arial"/>
          <w:color w:val="000000"/>
        </w:rPr>
        <w:t> </w:t>
      </w:r>
      <w:r w:rsidRPr="009C43B7">
        <w:rPr>
          <w:rFonts w:ascii="Arial" w:hAnsi="Arial" w:cs="Arial"/>
        </w:rPr>
        <w:t xml:space="preserve">Interest over the year increased the liabilities by </w:t>
      </w:r>
      <w:r w:rsidRPr="00EC59F1">
        <w:rPr>
          <w:rFonts w:ascii="Arial" w:hAnsi="Arial" w:cs="Arial"/>
        </w:rPr>
        <w:t xml:space="preserve">c£291million, and allowing for net benefits accrued/paid over the </w:t>
      </w:r>
      <w:r w:rsidRPr="00EC59F1">
        <w:rPr>
          <w:rFonts w:ascii="Arial" w:hAnsi="Arial" w:cs="Arial"/>
        </w:rPr>
        <w:t xml:space="preserve">period also increased them by c£6 million (after allowing for any increase in liabilities arising as a result of early retirements/augmentations).  There was then a further increase in liabilities of £1,662 million made up of “actuarial losses” (mostly </w:t>
      </w:r>
      <w:r w:rsidRPr="00EC59F1">
        <w:rPr>
          <w:rFonts w:ascii="Arial" w:hAnsi="Arial" w:cs="Arial"/>
          <w:color w:val="000000"/>
        </w:rPr>
        <w:t>cha</w:t>
      </w:r>
      <w:r w:rsidRPr="00EC59F1">
        <w:rPr>
          <w:rFonts w:ascii="Arial" w:hAnsi="Arial" w:cs="Arial"/>
          <w:color w:val="000000"/>
        </w:rPr>
        <w:t>nges in the actuarial assumptions used, primarily the discount rate and assumed rate of future CPI as referred to above).</w:t>
      </w:r>
      <w:r w:rsidRPr="00EC59F1">
        <w:rPr>
          <w:rFonts w:ascii="Arial" w:hAnsi="Arial" w:cs="Arial"/>
        </w:rPr>
        <w:t xml:space="preserve">  </w:t>
      </w:r>
    </w:p>
    <w:p w:rsidR="00812E57" w:rsidRPr="009C43B7" w:rsidRDefault="00E56C9A" w:rsidP="00812E57">
      <w:pPr>
        <w:rPr>
          <w:rFonts w:ascii="Arial" w:hAnsi="Arial" w:cs="Arial"/>
          <w:sz w:val="22"/>
          <w:szCs w:val="22"/>
        </w:rPr>
      </w:pPr>
    </w:p>
    <w:p w:rsidR="00812E57" w:rsidRPr="00EC59F1" w:rsidRDefault="00E56C9A" w:rsidP="00812E57">
      <w:pPr>
        <w:rPr>
          <w:rFonts w:ascii="Arial" w:hAnsi="Arial" w:cs="Arial"/>
        </w:rPr>
      </w:pPr>
      <w:r w:rsidRPr="00EC59F1">
        <w:rPr>
          <w:rFonts w:ascii="Arial" w:hAnsi="Arial" w:cs="Arial"/>
        </w:rPr>
        <w:t>The net effect of all the above is that the estimated total value of the Fund’s promised retirement benefits as at 31 March 2017 is</w:t>
      </w:r>
      <w:r w:rsidRPr="00EC59F1">
        <w:rPr>
          <w:rFonts w:ascii="Arial" w:hAnsi="Arial" w:cs="Arial"/>
        </w:rPr>
        <w:t xml:space="preserve"> therefore £10,065 million.</w:t>
      </w:r>
    </w:p>
    <w:p w:rsidR="00812E57" w:rsidRDefault="00E56C9A" w:rsidP="00812E57">
      <w:pPr>
        <w:pStyle w:val="Heading2"/>
        <w:rPr>
          <w:b w:val="0"/>
          <w:sz w:val="22"/>
          <w:szCs w:val="22"/>
        </w:rPr>
      </w:pPr>
    </w:p>
    <w:p w:rsidR="00812E57" w:rsidRPr="00EF36C9" w:rsidRDefault="00E56C9A" w:rsidP="00812E57">
      <w:pPr>
        <w:rPr>
          <w:rFonts w:eastAsia="Calibri"/>
          <w:szCs w:val="22"/>
        </w:rPr>
      </w:pPr>
    </w:p>
    <w:p w:rsidR="00812E57" w:rsidRPr="00EC59F1" w:rsidRDefault="00E56C9A" w:rsidP="00812E57">
      <w:pPr>
        <w:pStyle w:val="Heading2"/>
        <w:rPr>
          <w:color w:val="1F497D"/>
          <w:sz w:val="24"/>
          <w:szCs w:val="24"/>
        </w:rPr>
      </w:pPr>
      <w:r w:rsidRPr="00EC59F1">
        <w:rPr>
          <w:color w:val="1F497D"/>
          <w:sz w:val="24"/>
          <w:szCs w:val="24"/>
        </w:rPr>
        <w:lastRenderedPageBreak/>
        <w:t xml:space="preserve">John </w:t>
      </w:r>
      <w:proofErr w:type="spellStart"/>
      <w:r w:rsidRPr="00EC59F1">
        <w:rPr>
          <w:color w:val="1F497D"/>
          <w:sz w:val="24"/>
          <w:szCs w:val="24"/>
        </w:rPr>
        <w:t>Livesey</w:t>
      </w:r>
      <w:proofErr w:type="spellEnd"/>
    </w:p>
    <w:p w:rsidR="00812E57" w:rsidRPr="00EC59F1" w:rsidRDefault="00E56C9A" w:rsidP="00812E57">
      <w:pPr>
        <w:pStyle w:val="Heading2"/>
        <w:rPr>
          <w:color w:val="1F497D"/>
          <w:sz w:val="24"/>
          <w:szCs w:val="24"/>
        </w:rPr>
      </w:pPr>
      <w:r w:rsidRPr="00EC59F1">
        <w:rPr>
          <w:color w:val="1F497D"/>
          <w:sz w:val="24"/>
          <w:szCs w:val="24"/>
        </w:rPr>
        <w:t>Fellow of the Institute and Faculty of Actuaries</w:t>
      </w:r>
    </w:p>
    <w:p w:rsidR="00812E57" w:rsidRPr="00EC59F1" w:rsidRDefault="00E56C9A" w:rsidP="00812E57">
      <w:pPr>
        <w:pStyle w:val="Heading2"/>
        <w:rPr>
          <w:color w:val="1F497D"/>
          <w:sz w:val="24"/>
          <w:szCs w:val="24"/>
        </w:rPr>
      </w:pPr>
      <w:r w:rsidRPr="00EC59F1">
        <w:rPr>
          <w:color w:val="1F497D"/>
          <w:sz w:val="24"/>
          <w:szCs w:val="24"/>
        </w:rPr>
        <w:t>Mercer Limited</w:t>
      </w:r>
    </w:p>
    <w:p w:rsidR="00812E57" w:rsidRPr="00EC59F1" w:rsidRDefault="00E56C9A" w:rsidP="00812E57">
      <w:pPr>
        <w:rPr>
          <w:rFonts w:ascii="Arial" w:eastAsia="Calibri" w:hAnsi="Arial" w:cs="Arial"/>
          <w:b/>
          <w:bCs/>
          <w:color w:val="1F497D"/>
        </w:rPr>
      </w:pPr>
      <w:r w:rsidRPr="00EC59F1">
        <w:rPr>
          <w:rFonts w:ascii="Arial" w:hAnsi="Arial" w:cs="Arial"/>
          <w:b/>
          <w:bCs/>
          <w:color w:val="1F497D"/>
        </w:rPr>
        <w:t>May 2017</w:t>
      </w:r>
    </w:p>
    <w:p w:rsidR="00DC78E9" w:rsidRPr="00076CE1" w:rsidRDefault="00E56C9A" w:rsidP="00DC78E9">
      <w:pPr>
        <w:autoSpaceDE w:val="0"/>
        <w:autoSpaceDN w:val="0"/>
        <w:adjustRightInd w:val="0"/>
        <w:ind w:left="567"/>
        <w:jc w:val="both"/>
        <w:rPr>
          <w:rFonts w:ascii="Arial" w:eastAsia="Arial Unicode MS" w:hAnsi="Arial" w:cs="Arial"/>
          <w:color w:val="000000"/>
          <w:sz w:val="22"/>
          <w:szCs w:val="22"/>
        </w:rPr>
      </w:pPr>
    </w:p>
    <w:p w:rsidR="00DC78E9" w:rsidRPr="00076CE1" w:rsidRDefault="00E56C9A" w:rsidP="00DC78E9">
      <w:pPr>
        <w:tabs>
          <w:tab w:val="num" w:pos="862"/>
        </w:tabs>
        <w:jc w:val="both"/>
        <w:rPr>
          <w:rFonts w:ascii="Arial" w:eastAsia="Arial Unicode MS" w:hAnsi="Arial" w:cs="Arial"/>
          <w:b/>
          <w:color w:val="000000"/>
          <w:sz w:val="22"/>
          <w:szCs w:val="22"/>
        </w:rPr>
      </w:pPr>
    </w:p>
    <w:p w:rsidR="00DC78E9" w:rsidRPr="00076CE1" w:rsidRDefault="00E56C9A" w:rsidP="00DC78E9">
      <w:pPr>
        <w:tabs>
          <w:tab w:val="num" w:pos="862"/>
        </w:tabs>
        <w:ind w:left="862"/>
        <w:jc w:val="both"/>
        <w:rPr>
          <w:rFonts w:ascii="Arial" w:eastAsia="Arial Unicode MS" w:hAnsi="Arial" w:cs="Arial"/>
          <w:b/>
          <w:color w:val="000000"/>
          <w:sz w:val="22"/>
          <w:szCs w:val="22"/>
          <w:highlight w:val="magenta"/>
        </w:rPr>
      </w:pPr>
    </w:p>
    <w:p w:rsidR="00DC78E9" w:rsidRPr="00076CE1" w:rsidRDefault="00E56C9A" w:rsidP="00DC78E9">
      <w:pPr>
        <w:tabs>
          <w:tab w:val="left" w:pos="1455"/>
          <w:tab w:val="left" w:pos="3600"/>
          <w:tab w:val="left" w:pos="6885"/>
        </w:tabs>
        <w:jc w:val="both"/>
        <w:rPr>
          <w:rFonts w:ascii="Arial" w:eastAsia="Arial Unicode MS" w:hAnsi="Arial" w:cs="Arial"/>
          <w:sz w:val="22"/>
          <w:szCs w:val="22"/>
        </w:rPr>
      </w:pPr>
    </w:p>
    <w:p w:rsidR="00DC78E9" w:rsidRPr="00076CE1" w:rsidRDefault="00E56C9A" w:rsidP="00DC78E9">
      <w:pPr>
        <w:tabs>
          <w:tab w:val="left" w:pos="1455"/>
          <w:tab w:val="left" w:pos="3600"/>
          <w:tab w:val="left" w:pos="6885"/>
        </w:tabs>
        <w:jc w:val="both"/>
        <w:rPr>
          <w:rFonts w:ascii="Arial" w:eastAsia="Arial Unicode MS" w:hAnsi="Arial" w:cs="Arial"/>
          <w:sz w:val="22"/>
          <w:szCs w:val="22"/>
        </w:rPr>
      </w:pPr>
    </w:p>
    <w:p w:rsidR="00DC78E9" w:rsidRPr="00076CE1" w:rsidRDefault="00E56C9A" w:rsidP="00DC78E9">
      <w:pPr>
        <w:tabs>
          <w:tab w:val="left" w:pos="1455"/>
          <w:tab w:val="left" w:pos="3600"/>
          <w:tab w:val="left" w:pos="6885"/>
        </w:tabs>
        <w:jc w:val="both"/>
        <w:rPr>
          <w:rFonts w:ascii="Arial" w:eastAsia="Arial Unicode MS" w:hAnsi="Arial" w:cs="Arial"/>
          <w:sz w:val="22"/>
          <w:szCs w:val="22"/>
        </w:rPr>
      </w:pPr>
    </w:p>
    <w:p w:rsidR="00DC78E9" w:rsidRPr="00076CE1" w:rsidRDefault="00E56C9A" w:rsidP="00DC78E9">
      <w:pPr>
        <w:tabs>
          <w:tab w:val="left" w:pos="1455"/>
          <w:tab w:val="left" w:pos="3600"/>
          <w:tab w:val="left" w:pos="6885"/>
        </w:tabs>
        <w:jc w:val="both"/>
        <w:rPr>
          <w:rFonts w:ascii="Arial" w:eastAsia="Arial Unicode MS" w:hAnsi="Arial" w:cs="Arial"/>
          <w:sz w:val="22"/>
          <w:szCs w:val="22"/>
        </w:rPr>
      </w:pPr>
    </w:p>
    <w:p w:rsidR="00DC78E9" w:rsidRPr="00076CE1" w:rsidRDefault="00E56C9A" w:rsidP="00DC78E9">
      <w:pPr>
        <w:tabs>
          <w:tab w:val="left" w:pos="1455"/>
          <w:tab w:val="left" w:pos="3600"/>
          <w:tab w:val="left" w:pos="6885"/>
        </w:tabs>
        <w:jc w:val="both"/>
        <w:rPr>
          <w:rFonts w:ascii="Arial" w:eastAsia="Arial Unicode MS" w:hAnsi="Arial" w:cs="Arial"/>
          <w:sz w:val="22"/>
          <w:szCs w:val="22"/>
        </w:rPr>
      </w:pPr>
    </w:p>
    <w:p w:rsidR="00DC78E9" w:rsidRPr="00076CE1" w:rsidRDefault="00E56C9A" w:rsidP="00DC78E9">
      <w:pPr>
        <w:tabs>
          <w:tab w:val="left" w:pos="1455"/>
          <w:tab w:val="left" w:pos="3600"/>
          <w:tab w:val="left" w:pos="6885"/>
        </w:tabs>
        <w:jc w:val="both"/>
        <w:rPr>
          <w:rFonts w:ascii="Arial" w:eastAsia="Arial Unicode MS" w:hAnsi="Arial" w:cs="Arial"/>
          <w:sz w:val="22"/>
          <w:szCs w:val="22"/>
        </w:rPr>
      </w:pPr>
    </w:p>
    <w:p w:rsidR="009078FB" w:rsidRPr="00076CE1" w:rsidRDefault="00E56C9A">
      <w:pPr>
        <w:rPr>
          <w:rFonts w:ascii="Arial" w:hAnsi="Arial" w:cs="Arial"/>
        </w:rPr>
      </w:pPr>
    </w:p>
    <w:sectPr w:rsidR="009078FB" w:rsidRPr="00076C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56C9A">
      <w:r>
        <w:separator/>
      </w:r>
    </w:p>
  </w:endnote>
  <w:endnote w:type="continuationSeparator" w:id="0">
    <w:p w:rsidR="00000000" w:rsidRDefault="00E5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S Lola">
    <w:altName w:val="Arial"/>
    <w:panose1 w:val="00000000000000000000"/>
    <w:charset w:val="00"/>
    <w:family w:val="modern"/>
    <w:notTrueType/>
    <w:pitch w:val="variable"/>
    <w:sig w:usb0="00000001" w:usb1="4000204A" w:usb2="00000000" w:usb3="00000000" w:csb0="0000009B" w:csb1="00000000"/>
  </w:font>
  <w:font w:name="FS Lola ExtraBold">
    <w:altName w:val="Arial"/>
    <w:panose1 w:val="00000000000000000000"/>
    <w:charset w:val="00"/>
    <w:family w:val="modern"/>
    <w:notTrueType/>
    <w:pitch w:val="variable"/>
    <w:sig w:usb0="00000001" w:usb1="4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77" w:rsidRPr="001618F6" w:rsidRDefault="00E56C9A" w:rsidP="00105290">
    <w:pPr>
      <w:pStyle w:val="Footer"/>
      <w:pBdr>
        <w:top w:val="single" w:sz="4" w:space="1" w:color="AEAAAA" w:themeColor="background2" w:themeShade="BF"/>
      </w:pBdr>
      <w:tabs>
        <w:tab w:val="clear" w:pos="8306"/>
        <w:tab w:val="left" w:pos="4153"/>
      </w:tabs>
      <w:rPr>
        <w:rFonts w:asciiTheme="minorHAnsi" w:hAnsiTheme="minorHAnsi"/>
        <w:color w:val="767171" w:themeColor="background2" w:themeShade="80"/>
      </w:rPr>
    </w:pP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           </w:t>
    </w:r>
    <w:r>
      <w:rPr>
        <w:rFonts w:asciiTheme="minorHAnsi" w:hAnsiTheme="minorHAnsi"/>
      </w:rPr>
      <w:tab/>
    </w:r>
    <w:r w:rsidRPr="001C3233">
      <w:rPr>
        <w:rFonts w:ascii="Corbel" w:hAnsi="Corbel"/>
        <w:color w:val="E7E6E6" w:themeColor="background2"/>
      </w:rPr>
      <w:t xml:space="preserve"> </w:t>
    </w:r>
    <w:r>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r>
    <w:r w:rsidRPr="001C3233">
      <w:rPr>
        <w:rFonts w:ascii="Corbel" w:hAnsi="Corbel"/>
        <w:color w:val="E7E6E6" w:themeColor="background2"/>
      </w:rPr>
      <w:t xml:space="preserve"> </w:t>
    </w:r>
    <w:r w:rsidRPr="001618F6">
      <w:rPr>
        <w:rFonts w:asciiTheme="minorHAnsi" w:hAnsiTheme="minorHAnsi"/>
        <w:color w:val="767171" w:themeColor="background2" w:themeShade="80"/>
      </w:rPr>
      <w:t xml:space="preserve">    </w:t>
    </w:r>
  </w:p>
  <w:p w:rsidR="00C24477" w:rsidRPr="0054647A" w:rsidRDefault="00E56C9A" w:rsidP="00105290">
    <w:pPr>
      <w:pStyle w:val="Footer"/>
      <w:tabs>
        <w:tab w:val="clear" w:pos="8306"/>
        <w:tab w:val="left" w:pos="4153"/>
      </w:tabs>
      <w:rPr>
        <w:rFonts w:ascii="Corbel" w:hAnsi="Corbel"/>
        <w:color w:val="AEAAAA" w:themeColor="background2" w:themeShade="BF"/>
        <w:sz w:val="18"/>
        <w:szCs w:val="18"/>
      </w:rPr>
    </w:pPr>
    <w:r w:rsidRPr="001618F6">
      <w:rPr>
        <w:rFonts w:ascii="Corbel" w:hAnsi="Corbel"/>
        <w:color w:val="767171" w:themeColor="background2" w:themeShade="80"/>
      </w:rPr>
      <w:t>Lancashire County Coun</w:t>
    </w:r>
    <w:r>
      <w:rPr>
        <w:rFonts w:ascii="Corbel" w:hAnsi="Corbel"/>
        <w:color w:val="767171" w:themeColor="background2" w:themeShade="80"/>
      </w:rPr>
      <w:t>cil – Statement of Accounts 2016/17</w:t>
    </w:r>
    <w:r w:rsidRPr="001618F6">
      <w:rPr>
        <w:rFonts w:ascii="Corbel" w:hAnsi="Corbel"/>
        <w:color w:val="767171" w:themeColor="background2" w:themeShade="80"/>
      </w:rPr>
      <w:tab/>
    </w:r>
    <w:r w:rsidRPr="001618F6">
      <w:rPr>
        <w:rFonts w:ascii="Corbel" w:hAnsi="Corbel"/>
        <w:color w:val="767171" w:themeColor="background2" w:themeShade="80"/>
      </w:rPr>
      <w:tab/>
    </w:r>
    <w:r w:rsidRPr="00AB707C">
      <w:rPr>
        <w:rFonts w:ascii="Corbel" w:hAnsi="Corbel"/>
        <w:color w:val="AEAAAA" w:themeColor="background2" w:themeShade="BF"/>
      </w:rPr>
      <w:t xml:space="preserve">      </w:t>
    </w:r>
    <w:r w:rsidRPr="00AB707C">
      <w:rPr>
        <w:rFonts w:ascii="Corbel" w:hAnsi="Corbel"/>
        <w:color w:val="AEAAAA" w:themeColor="background2" w:themeShade="BF"/>
      </w:rPr>
      <w:tab/>
    </w:r>
    <w:r w:rsidRPr="00AB707C">
      <w:rPr>
        <w:rFonts w:ascii="Corbel" w:hAnsi="Corbel"/>
        <w:color w:val="AEAAAA" w:themeColor="background2" w:themeShade="BF"/>
      </w:rPr>
      <w:tab/>
      <w:t xml:space="preserve">           </w:t>
    </w:r>
    <w:r w:rsidRPr="00AB707C">
      <w:rPr>
        <w:rFonts w:ascii="Corbel" w:hAnsi="Corbel"/>
        <w:color w:val="AEAAAA" w:themeColor="background2" w:themeShade="BF"/>
      </w:rPr>
      <w:tab/>
    </w:r>
    <w:sdt>
      <w:sdtPr>
        <w:rPr>
          <w:rFonts w:ascii="Corbel" w:hAnsi="Corbel"/>
          <w:color w:val="AEAAAA" w:themeColor="background2" w:themeShade="BF"/>
        </w:rPr>
        <w:id w:val="857164713"/>
        <w:docPartObj>
          <w:docPartGallery w:val="Page Numbers (Bottom of Page)"/>
          <w:docPartUnique/>
        </w:docPartObj>
      </w:sdtPr>
      <w:sdtEndPr>
        <w:rPr>
          <w:noProof/>
          <w:sz w:val="18"/>
          <w:szCs w:val="18"/>
        </w:rPr>
      </w:sdtEndPr>
      <w:sdtContent>
        <w:r w:rsidRPr="00AB707C">
          <w:rPr>
            <w:rFonts w:ascii="Corbel" w:hAnsi="Corbel"/>
            <w:color w:val="AEAAAA" w:themeColor="background2" w:themeShade="BF"/>
          </w:rPr>
          <w:t xml:space="preserve">                  </w:t>
        </w:r>
        <w:r>
          <w:rPr>
            <w:rFonts w:ascii="Corbel" w:hAnsi="Corbel"/>
            <w:color w:val="AEAAAA" w:themeColor="background2" w:themeShade="BF"/>
          </w:rPr>
          <w:t xml:space="preserve">               </w:t>
        </w:r>
        <w:r w:rsidRPr="00AB707C">
          <w:rPr>
            <w:rFonts w:ascii="Corbel" w:hAnsi="Corbel"/>
            <w:color w:val="AEAAAA" w:themeColor="background2" w:themeShade="BF"/>
          </w:rPr>
          <w:t xml:space="preserve">  </w:t>
        </w:r>
        <w:r>
          <w:rPr>
            <w:rFonts w:ascii="Corbel" w:hAnsi="Corbel"/>
            <w:color w:val="AEAAAA" w:themeColor="background2" w:themeShade="BF"/>
          </w:rPr>
          <w:t xml:space="preserve">                                                                                                     </w:t>
        </w:r>
        <w:r>
          <w:rPr>
            <w:rFonts w:ascii="Corbel" w:hAnsi="Corbel"/>
            <w:color w:val="AEAAAA" w:themeColor="background2" w:themeShade="BF"/>
          </w:rPr>
          <w:t xml:space="preserve">                                  </w:t>
        </w:r>
        <w:r w:rsidRPr="00AB707C">
          <w:rPr>
            <w:rFonts w:ascii="Corbel" w:hAnsi="Corbel"/>
            <w:color w:val="AEAAAA" w:themeColor="background2" w:themeShade="BF"/>
          </w:rPr>
          <w:t xml:space="preserve"> </w:t>
        </w:r>
        <w:r w:rsidRPr="00AB707C">
          <w:rPr>
            <w:rFonts w:ascii="Corbel" w:hAnsi="Corbel"/>
            <w:color w:val="AEAAAA" w:themeColor="background2" w:themeShade="BF"/>
            <w:sz w:val="18"/>
            <w:szCs w:val="18"/>
          </w:rPr>
          <w:fldChar w:fldCharType="begin"/>
        </w:r>
        <w:r w:rsidRPr="00AB707C">
          <w:rPr>
            <w:rFonts w:ascii="Corbel" w:hAnsi="Corbel"/>
            <w:color w:val="AEAAAA" w:themeColor="background2" w:themeShade="BF"/>
            <w:sz w:val="18"/>
            <w:szCs w:val="18"/>
          </w:rPr>
          <w:instrText xml:space="preserve"> PAGE   \* MERGEFORMAT </w:instrText>
        </w:r>
        <w:r w:rsidRPr="00AB707C">
          <w:rPr>
            <w:rFonts w:ascii="Corbel" w:hAnsi="Corbel"/>
            <w:color w:val="AEAAAA" w:themeColor="background2" w:themeShade="BF"/>
            <w:sz w:val="18"/>
            <w:szCs w:val="18"/>
          </w:rPr>
          <w:fldChar w:fldCharType="separate"/>
        </w:r>
        <w:r>
          <w:rPr>
            <w:rFonts w:ascii="Corbel" w:hAnsi="Corbel"/>
            <w:noProof/>
            <w:color w:val="AEAAAA" w:themeColor="background2" w:themeShade="BF"/>
            <w:sz w:val="18"/>
            <w:szCs w:val="18"/>
          </w:rPr>
          <w:t>20</w:t>
        </w:r>
        <w:r w:rsidRPr="00AB707C">
          <w:rPr>
            <w:rFonts w:ascii="Corbel" w:hAnsi="Corbel"/>
            <w:noProof/>
            <w:color w:val="AEAAAA" w:themeColor="background2" w:themeShade="BF"/>
            <w:sz w:val="18"/>
            <w:szCs w:val="18"/>
          </w:rPr>
          <w:fldChar w:fldCharType="end"/>
        </w:r>
      </w:sdtContent>
    </w:sdt>
    <w:r>
      <w:rPr>
        <w:rFonts w:asciiTheme="minorHAnsi" w:hAnsiTheme="minorHAns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77" w:rsidRPr="001618F6" w:rsidRDefault="00E56C9A" w:rsidP="00105290">
    <w:pPr>
      <w:pStyle w:val="Footer"/>
      <w:pBdr>
        <w:top w:val="single" w:sz="4" w:space="1" w:color="AEAAAA" w:themeColor="background2" w:themeShade="BF"/>
      </w:pBdr>
      <w:tabs>
        <w:tab w:val="clear" w:pos="8306"/>
        <w:tab w:val="left" w:pos="4153"/>
      </w:tabs>
      <w:rPr>
        <w:rFonts w:asciiTheme="minorHAnsi" w:hAnsiTheme="minorHAnsi"/>
        <w:color w:val="767171" w:themeColor="background2" w:themeShade="80"/>
      </w:rPr>
    </w:pPr>
    <w:r w:rsidRPr="001618F6">
      <w:rPr>
        <w:rFonts w:asciiTheme="minorHAnsi" w:hAnsiTheme="minorHAnsi"/>
        <w:color w:val="767171" w:themeColor="background2" w:themeShade="80"/>
      </w:rPr>
      <w:t xml:space="preserve">    </w:t>
    </w:r>
  </w:p>
  <w:p w:rsidR="00C24477" w:rsidRPr="001F612D" w:rsidRDefault="00E56C9A" w:rsidP="00105290">
    <w:pPr>
      <w:rPr>
        <w:sz w:val="20"/>
        <w:szCs w:val="20"/>
      </w:rPr>
    </w:pPr>
    <w:r w:rsidRPr="00706F5E">
      <w:rPr>
        <w:rFonts w:ascii="Corbel" w:hAnsi="Corbel"/>
        <w:color w:val="767171" w:themeColor="background2" w:themeShade="80"/>
        <w:sz w:val="20"/>
        <w:szCs w:val="20"/>
      </w:rPr>
      <w:t>Lancashire County Council – Statement of Accounts 2016/17</w:t>
    </w:r>
    <w:r w:rsidRPr="00706F5E">
      <w:rPr>
        <w:rFonts w:ascii="Corbel" w:hAnsi="Corbel"/>
        <w:color w:val="767171" w:themeColor="background2" w:themeShade="80"/>
        <w:sz w:val="20"/>
        <w:szCs w:val="20"/>
      </w:rPr>
      <w:tab/>
    </w:r>
    <w:r w:rsidRPr="00706F5E">
      <w:rPr>
        <w:rFonts w:ascii="Corbel" w:hAnsi="Corbel"/>
        <w:color w:val="AEAAAA" w:themeColor="background2" w:themeShade="BF"/>
        <w:sz w:val="20"/>
        <w:szCs w:val="20"/>
      </w:rPr>
      <w:t xml:space="preserve">     </w:t>
    </w:r>
    <w:r w:rsidRPr="00706F5E">
      <w:rPr>
        <w:rFonts w:ascii="Corbel" w:hAnsi="Corbel"/>
        <w:color w:val="AEAAAA" w:themeColor="background2" w:themeShade="BF"/>
        <w:sz w:val="20"/>
        <w:szCs w:val="20"/>
      </w:rPr>
      <w:tab/>
      <w:t xml:space="preserve">           </w:t>
    </w:r>
    <w:r w:rsidRPr="00706F5E">
      <w:rPr>
        <w:rFonts w:ascii="Corbel" w:hAnsi="Corbel"/>
        <w:color w:val="AEAAAA" w:themeColor="background2" w:themeShade="BF"/>
        <w:sz w:val="20"/>
        <w:szCs w:val="20"/>
      </w:rPr>
      <w:tab/>
    </w:r>
    <w:sdt>
      <w:sdtPr>
        <w:rPr>
          <w:rFonts w:ascii="Corbel" w:hAnsi="Corbel"/>
          <w:color w:val="AEAAAA" w:themeColor="background2" w:themeShade="BF"/>
          <w:sz w:val="20"/>
          <w:szCs w:val="20"/>
        </w:rPr>
        <w:id w:val="1795793778"/>
        <w:docPartObj>
          <w:docPartGallery w:val="Page Numbers (Bottom of Page)"/>
          <w:docPartUnique/>
        </w:docPartObj>
      </w:sdtPr>
      <w:sdtEndPr>
        <w:rPr>
          <w:noProof/>
        </w:rPr>
      </w:sdtEndPr>
      <w:sdtContent>
        <w:r w:rsidRPr="00706F5E">
          <w:rPr>
            <w:rFonts w:ascii="Corbel" w:hAnsi="Corbel"/>
            <w:color w:val="AEAAAA" w:themeColor="background2" w:themeShade="BF"/>
            <w:sz w:val="20"/>
            <w:szCs w:val="20"/>
          </w:rPr>
          <w:t xml:space="preserve">                                                  </w:t>
        </w:r>
        <w:r>
          <w:rPr>
            <w:rFonts w:ascii="Corbel" w:hAnsi="Corbel"/>
            <w:color w:val="AEAAAA" w:themeColor="background2" w:themeShade="BF"/>
            <w:sz w:val="20"/>
            <w:szCs w:val="20"/>
          </w:rPr>
          <w:t xml:space="preserve">                 </w:t>
        </w:r>
        <w:r w:rsidRPr="00706F5E">
          <w:rPr>
            <w:rFonts w:ascii="Corbel" w:hAnsi="Corbel"/>
            <w:color w:val="AEAAAA" w:themeColor="background2" w:themeShade="BF"/>
            <w:sz w:val="20"/>
            <w:szCs w:val="20"/>
          </w:rPr>
          <w:t xml:space="preserve">   </w:t>
        </w:r>
        <w:r w:rsidRPr="00706F5E">
          <w:rPr>
            <w:rFonts w:ascii="Corbel" w:hAnsi="Corbel"/>
            <w:color w:val="AEAAAA" w:themeColor="background2" w:themeShade="BF"/>
            <w:sz w:val="20"/>
            <w:szCs w:val="20"/>
          </w:rPr>
          <w:fldChar w:fldCharType="begin"/>
        </w:r>
        <w:r w:rsidRPr="00706F5E">
          <w:rPr>
            <w:rFonts w:ascii="Corbel" w:hAnsi="Corbel"/>
            <w:color w:val="AEAAAA" w:themeColor="background2" w:themeShade="BF"/>
            <w:sz w:val="20"/>
            <w:szCs w:val="20"/>
          </w:rPr>
          <w:instrText xml:space="preserve"> PAGE   \* MERGEFORMAT </w:instrText>
        </w:r>
        <w:r w:rsidRPr="00706F5E">
          <w:rPr>
            <w:rFonts w:ascii="Corbel" w:hAnsi="Corbel"/>
            <w:color w:val="AEAAAA" w:themeColor="background2" w:themeShade="BF"/>
            <w:sz w:val="20"/>
            <w:szCs w:val="20"/>
          </w:rPr>
          <w:fldChar w:fldCharType="separate"/>
        </w:r>
        <w:r>
          <w:rPr>
            <w:rFonts w:ascii="Corbel" w:hAnsi="Corbel"/>
            <w:noProof/>
            <w:color w:val="AEAAAA" w:themeColor="background2" w:themeShade="BF"/>
            <w:sz w:val="20"/>
            <w:szCs w:val="20"/>
          </w:rPr>
          <w:t>37</w:t>
        </w:r>
        <w:r w:rsidRPr="00706F5E">
          <w:rPr>
            <w:rFonts w:ascii="Corbel" w:hAnsi="Corbel"/>
            <w:noProof/>
            <w:color w:val="AEAAAA" w:themeColor="background2" w:themeShade="BF"/>
            <w:sz w:val="20"/>
            <w:szCs w:val="20"/>
          </w:rPr>
          <w:fldChar w:fldCharType="end"/>
        </w:r>
      </w:sdtContent>
    </w:sdt>
    <w:r>
      <w:rPr>
        <w:rFonts w:asciiTheme="minorHAnsi" w:hAnsiTheme="minorHAns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77" w:rsidRPr="001618F6" w:rsidRDefault="00E56C9A" w:rsidP="00105290">
    <w:pPr>
      <w:pStyle w:val="Footer"/>
      <w:pBdr>
        <w:top w:val="single" w:sz="4" w:space="1" w:color="AEAAAA" w:themeColor="background2" w:themeShade="BF"/>
      </w:pBdr>
      <w:tabs>
        <w:tab w:val="clear" w:pos="8306"/>
        <w:tab w:val="left" w:pos="4153"/>
      </w:tabs>
      <w:rPr>
        <w:rFonts w:asciiTheme="minorHAnsi" w:hAnsiTheme="minorHAnsi"/>
        <w:color w:val="767171" w:themeColor="background2" w:themeShade="80"/>
      </w:rPr>
    </w:pP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r>
    <w:r w:rsidRPr="001C3233">
      <w:rPr>
        <w:rFonts w:ascii="Corbel" w:hAnsi="Corbel"/>
        <w:color w:val="E7E6E6" w:themeColor="background2"/>
      </w:rPr>
      <w:t xml:space="preserve"> </w:t>
    </w:r>
    <w:r>
      <w:rPr>
        <w:rFonts w:asciiTheme="minorHAnsi" w:hAnsiTheme="minorHAnsi"/>
      </w:rPr>
      <w:tab/>
      <w:t xml:space="preserve">      </w:t>
    </w:r>
    <w:r>
      <w:rPr>
        <w:rFonts w:asciiTheme="minorHAnsi" w:hAnsiTheme="minorHAnsi"/>
      </w:rPr>
      <w:tab/>
    </w:r>
    <w:r>
      <w:rPr>
        <w:rFonts w:asciiTheme="minorHAnsi" w:hAnsiTheme="minorHAnsi"/>
      </w:rPr>
      <w:tab/>
      <w:t xml:space="preserve">           </w:t>
    </w:r>
    <w:r>
      <w:rPr>
        <w:rFonts w:asciiTheme="minorHAnsi" w:hAnsiTheme="minorHAnsi"/>
      </w:rPr>
      <w:tab/>
    </w:r>
    <w:r w:rsidRPr="001C3233">
      <w:rPr>
        <w:rFonts w:ascii="Corbel" w:hAnsi="Corbel"/>
        <w:color w:val="E7E6E6" w:themeColor="background2"/>
      </w:rPr>
      <w:t xml:space="preserve"> </w:t>
    </w:r>
    <w:r w:rsidRPr="001618F6">
      <w:rPr>
        <w:rFonts w:asciiTheme="minorHAnsi" w:hAnsiTheme="minorHAnsi"/>
        <w:color w:val="767171" w:themeColor="background2" w:themeShade="80"/>
      </w:rPr>
      <w:t xml:space="preserve">    </w:t>
    </w:r>
  </w:p>
  <w:p w:rsidR="00C24477" w:rsidRPr="0090418B" w:rsidRDefault="00E56C9A" w:rsidP="00105290">
    <w:pPr>
      <w:pStyle w:val="Footer"/>
      <w:tabs>
        <w:tab w:val="clear" w:pos="8306"/>
        <w:tab w:val="left" w:pos="4153"/>
      </w:tabs>
      <w:rPr>
        <w:rFonts w:asciiTheme="minorHAnsi" w:hAnsiTheme="minorHAnsi"/>
        <w:sz w:val="18"/>
        <w:szCs w:val="18"/>
      </w:rPr>
    </w:pPr>
    <w:r w:rsidRPr="001618F6">
      <w:rPr>
        <w:rFonts w:ascii="Corbel" w:hAnsi="Corbel"/>
        <w:color w:val="767171" w:themeColor="background2" w:themeShade="80"/>
      </w:rPr>
      <w:t>Lancashire County Coun</w:t>
    </w:r>
    <w:r>
      <w:rPr>
        <w:rFonts w:ascii="Corbel" w:hAnsi="Corbel"/>
        <w:color w:val="767171" w:themeColor="background2" w:themeShade="80"/>
      </w:rPr>
      <w:t>cil – Statement of Accounts 2016/17</w:t>
    </w:r>
    <w:r w:rsidRPr="001618F6">
      <w:rPr>
        <w:rFonts w:ascii="Corbel" w:hAnsi="Corbel"/>
        <w:color w:val="767171" w:themeColor="background2" w:themeShade="80"/>
      </w:rPr>
      <w:tab/>
    </w:r>
    <w:sdt>
      <w:sdtPr>
        <w:rPr>
          <w:rFonts w:ascii="Corbel" w:hAnsi="Corbel"/>
          <w:color w:val="AEAAAA" w:themeColor="background2" w:themeShade="BF"/>
        </w:rPr>
        <w:id w:val="-1049067584"/>
        <w:docPartObj>
          <w:docPartGallery w:val="Page Numbers (Bottom of Page)"/>
          <w:docPartUnique/>
        </w:docPartObj>
      </w:sdtPr>
      <w:sdtEndPr>
        <w:rPr>
          <w:noProof/>
          <w:sz w:val="18"/>
          <w:szCs w:val="18"/>
        </w:rPr>
      </w:sdtEndPr>
      <w:sdtContent>
        <w:r w:rsidRPr="00AB707C">
          <w:rPr>
            <w:rFonts w:ascii="Corbel" w:hAnsi="Corbel"/>
            <w:color w:val="AEAAAA" w:themeColor="background2" w:themeShade="BF"/>
          </w:rPr>
          <w:t xml:space="preserve">  </w:t>
        </w:r>
        <w:r>
          <w:rPr>
            <w:rFonts w:ascii="Corbel" w:hAnsi="Corbel"/>
            <w:color w:val="AEAAAA" w:themeColor="background2" w:themeShade="BF"/>
          </w:rPr>
          <w:t xml:space="preserve">                                                                                                                                                                                                                                                 </w:t>
        </w:r>
        <w:r w:rsidRPr="00AB707C">
          <w:rPr>
            <w:rFonts w:ascii="Corbel" w:hAnsi="Corbel"/>
            <w:color w:val="AEAAAA" w:themeColor="background2" w:themeShade="BF"/>
          </w:rPr>
          <w:t xml:space="preserve"> </w:t>
        </w:r>
        <w:r w:rsidRPr="00AB707C">
          <w:rPr>
            <w:rFonts w:ascii="Corbel" w:hAnsi="Corbel"/>
            <w:color w:val="AEAAAA" w:themeColor="background2" w:themeShade="BF"/>
            <w:sz w:val="18"/>
            <w:szCs w:val="18"/>
          </w:rPr>
          <w:fldChar w:fldCharType="begin"/>
        </w:r>
        <w:r w:rsidRPr="00AB707C">
          <w:rPr>
            <w:rFonts w:ascii="Corbel" w:hAnsi="Corbel"/>
            <w:color w:val="AEAAAA" w:themeColor="background2" w:themeShade="BF"/>
            <w:sz w:val="18"/>
            <w:szCs w:val="18"/>
          </w:rPr>
          <w:instrText xml:space="preserve"> PAGE   \* MER</w:instrText>
        </w:r>
        <w:r w:rsidRPr="00AB707C">
          <w:rPr>
            <w:rFonts w:ascii="Corbel" w:hAnsi="Corbel"/>
            <w:color w:val="AEAAAA" w:themeColor="background2" w:themeShade="BF"/>
            <w:sz w:val="18"/>
            <w:szCs w:val="18"/>
          </w:rPr>
          <w:instrText xml:space="preserve">GEFORMAT </w:instrText>
        </w:r>
        <w:r w:rsidRPr="00AB707C">
          <w:rPr>
            <w:rFonts w:ascii="Corbel" w:hAnsi="Corbel"/>
            <w:color w:val="AEAAAA" w:themeColor="background2" w:themeShade="BF"/>
            <w:sz w:val="18"/>
            <w:szCs w:val="18"/>
          </w:rPr>
          <w:fldChar w:fldCharType="separate"/>
        </w:r>
        <w:r>
          <w:rPr>
            <w:rFonts w:ascii="Corbel" w:hAnsi="Corbel"/>
            <w:noProof/>
            <w:color w:val="AEAAAA" w:themeColor="background2" w:themeShade="BF"/>
            <w:sz w:val="18"/>
            <w:szCs w:val="18"/>
          </w:rPr>
          <w:t>42</w:t>
        </w:r>
        <w:r w:rsidRPr="00AB707C">
          <w:rPr>
            <w:rFonts w:ascii="Corbel" w:hAnsi="Corbel"/>
            <w:noProof/>
            <w:color w:val="AEAAAA" w:themeColor="background2" w:themeShade="B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56C9A">
      <w:r>
        <w:separator/>
      </w:r>
    </w:p>
  </w:footnote>
  <w:footnote w:type="continuationSeparator" w:id="0">
    <w:p w:rsidR="00000000" w:rsidRDefault="00E5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77" w:rsidRPr="00AA63F8" w:rsidRDefault="00E56C9A" w:rsidP="00105290">
    <w:pPr>
      <w:pStyle w:val="Header"/>
      <w:pBdr>
        <w:bottom w:val="single" w:sz="4" w:space="1" w:color="008080"/>
      </w:pBdr>
      <w:tabs>
        <w:tab w:val="clear" w:pos="8306"/>
        <w:tab w:val="left" w:pos="7260"/>
      </w:tabs>
      <w:jc w:val="right"/>
      <w:rPr>
        <w:rFonts w:ascii="Corbel" w:hAnsi="Corbel"/>
        <w:color w:val="008080"/>
        <w:sz w:val="52"/>
        <w:szCs w:val="52"/>
      </w:rPr>
    </w:pPr>
    <w:r w:rsidRPr="00AA63F8">
      <w:rPr>
        <w:rFonts w:ascii="Corbel" w:hAnsi="Corbel"/>
        <w:color w:val="008080"/>
        <w:sz w:val="52"/>
        <w:szCs w:val="52"/>
      </w:rPr>
      <w:t>Pension fund accounts</w:t>
    </w:r>
  </w:p>
  <w:p w:rsidR="00C24477" w:rsidRDefault="00E56C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938"/>
    <w:multiLevelType w:val="hybridMultilevel"/>
    <w:tmpl w:val="4CD043F0"/>
    <w:lvl w:ilvl="0" w:tplc="856C0652">
      <w:start w:val="1"/>
      <w:numFmt w:val="bullet"/>
      <w:lvlText w:val=""/>
      <w:lvlJc w:val="left"/>
      <w:pPr>
        <w:ind w:left="1146" w:hanging="360"/>
      </w:pPr>
      <w:rPr>
        <w:rFonts w:ascii="Symbol" w:hAnsi="Symbol" w:hint="default"/>
      </w:rPr>
    </w:lvl>
    <w:lvl w:ilvl="1" w:tplc="D1D8C99A" w:tentative="1">
      <w:start w:val="1"/>
      <w:numFmt w:val="bullet"/>
      <w:lvlText w:val="o"/>
      <w:lvlJc w:val="left"/>
      <w:pPr>
        <w:ind w:left="1866" w:hanging="360"/>
      </w:pPr>
      <w:rPr>
        <w:rFonts w:ascii="Courier New" w:hAnsi="Courier New" w:cs="Courier New" w:hint="default"/>
      </w:rPr>
    </w:lvl>
    <w:lvl w:ilvl="2" w:tplc="98D81894" w:tentative="1">
      <w:start w:val="1"/>
      <w:numFmt w:val="bullet"/>
      <w:lvlText w:val=""/>
      <w:lvlJc w:val="left"/>
      <w:pPr>
        <w:ind w:left="2586" w:hanging="360"/>
      </w:pPr>
      <w:rPr>
        <w:rFonts w:ascii="Wingdings" w:hAnsi="Wingdings" w:hint="default"/>
      </w:rPr>
    </w:lvl>
    <w:lvl w:ilvl="3" w:tplc="443C3454" w:tentative="1">
      <w:start w:val="1"/>
      <w:numFmt w:val="bullet"/>
      <w:lvlText w:val=""/>
      <w:lvlJc w:val="left"/>
      <w:pPr>
        <w:ind w:left="3306" w:hanging="360"/>
      </w:pPr>
      <w:rPr>
        <w:rFonts w:ascii="Symbol" w:hAnsi="Symbol" w:hint="default"/>
      </w:rPr>
    </w:lvl>
    <w:lvl w:ilvl="4" w:tplc="EE0A7DBC" w:tentative="1">
      <w:start w:val="1"/>
      <w:numFmt w:val="bullet"/>
      <w:lvlText w:val="o"/>
      <w:lvlJc w:val="left"/>
      <w:pPr>
        <w:ind w:left="4026" w:hanging="360"/>
      </w:pPr>
      <w:rPr>
        <w:rFonts w:ascii="Courier New" w:hAnsi="Courier New" w:cs="Courier New" w:hint="default"/>
      </w:rPr>
    </w:lvl>
    <w:lvl w:ilvl="5" w:tplc="0DFE049C" w:tentative="1">
      <w:start w:val="1"/>
      <w:numFmt w:val="bullet"/>
      <w:lvlText w:val=""/>
      <w:lvlJc w:val="left"/>
      <w:pPr>
        <w:ind w:left="4746" w:hanging="360"/>
      </w:pPr>
      <w:rPr>
        <w:rFonts w:ascii="Wingdings" w:hAnsi="Wingdings" w:hint="default"/>
      </w:rPr>
    </w:lvl>
    <w:lvl w:ilvl="6" w:tplc="39A6DFD8" w:tentative="1">
      <w:start w:val="1"/>
      <w:numFmt w:val="bullet"/>
      <w:lvlText w:val=""/>
      <w:lvlJc w:val="left"/>
      <w:pPr>
        <w:ind w:left="5466" w:hanging="360"/>
      </w:pPr>
      <w:rPr>
        <w:rFonts w:ascii="Symbol" w:hAnsi="Symbol" w:hint="default"/>
      </w:rPr>
    </w:lvl>
    <w:lvl w:ilvl="7" w:tplc="055C15E4" w:tentative="1">
      <w:start w:val="1"/>
      <w:numFmt w:val="bullet"/>
      <w:lvlText w:val="o"/>
      <w:lvlJc w:val="left"/>
      <w:pPr>
        <w:ind w:left="6186" w:hanging="360"/>
      </w:pPr>
      <w:rPr>
        <w:rFonts w:ascii="Courier New" w:hAnsi="Courier New" w:cs="Courier New" w:hint="default"/>
      </w:rPr>
    </w:lvl>
    <w:lvl w:ilvl="8" w:tplc="1652A772" w:tentative="1">
      <w:start w:val="1"/>
      <w:numFmt w:val="bullet"/>
      <w:lvlText w:val=""/>
      <w:lvlJc w:val="left"/>
      <w:pPr>
        <w:ind w:left="6906" w:hanging="360"/>
      </w:pPr>
      <w:rPr>
        <w:rFonts w:ascii="Wingdings" w:hAnsi="Wingdings" w:hint="default"/>
      </w:rPr>
    </w:lvl>
  </w:abstractNum>
  <w:abstractNum w:abstractNumId="1" w15:restartNumberingAfterBreak="0">
    <w:nsid w:val="105123F9"/>
    <w:multiLevelType w:val="hybridMultilevel"/>
    <w:tmpl w:val="64AC9398"/>
    <w:lvl w:ilvl="0" w:tplc="D9B6D9AA">
      <w:start w:val="1"/>
      <w:numFmt w:val="bullet"/>
      <w:lvlText w:val=""/>
      <w:lvlJc w:val="left"/>
      <w:pPr>
        <w:ind w:left="1287" w:hanging="360"/>
      </w:pPr>
      <w:rPr>
        <w:rFonts w:ascii="Symbol" w:hAnsi="Symbol" w:hint="default"/>
      </w:rPr>
    </w:lvl>
    <w:lvl w:ilvl="1" w:tplc="D02A573C" w:tentative="1">
      <w:start w:val="1"/>
      <w:numFmt w:val="bullet"/>
      <w:lvlText w:val="o"/>
      <w:lvlJc w:val="left"/>
      <w:pPr>
        <w:ind w:left="2007" w:hanging="360"/>
      </w:pPr>
      <w:rPr>
        <w:rFonts w:ascii="Courier New" w:hAnsi="Courier New" w:cs="Courier New" w:hint="default"/>
      </w:rPr>
    </w:lvl>
    <w:lvl w:ilvl="2" w:tplc="28D60C42" w:tentative="1">
      <w:start w:val="1"/>
      <w:numFmt w:val="bullet"/>
      <w:lvlText w:val=""/>
      <w:lvlJc w:val="left"/>
      <w:pPr>
        <w:ind w:left="2727" w:hanging="360"/>
      </w:pPr>
      <w:rPr>
        <w:rFonts w:ascii="Wingdings" w:hAnsi="Wingdings" w:hint="default"/>
      </w:rPr>
    </w:lvl>
    <w:lvl w:ilvl="3" w:tplc="AD5C4B66" w:tentative="1">
      <w:start w:val="1"/>
      <w:numFmt w:val="bullet"/>
      <w:lvlText w:val=""/>
      <w:lvlJc w:val="left"/>
      <w:pPr>
        <w:ind w:left="3447" w:hanging="360"/>
      </w:pPr>
      <w:rPr>
        <w:rFonts w:ascii="Symbol" w:hAnsi="Symbol" w:hint="default"/>
      </w:rPr>
    </w:lvl>
    <w:lvl w:ilvl="4" w:tplc="F8847716" w:tentative="1">
      <w:start w:val="1"/>
      <w:numFmt w:val="bullet"/>
      <w:lvlText w:val="o"/>
      <w:lvlJc w:val="left"/>
      <w:pPr>
        <w:ind w:left="4167" w:hanging="360"/>
      </w:pPr>
      <w:rPr>
        <w:rFonts w:ascii="Courier New" w:hAnsi="Courier New" w:cs="Courier New" w:hint="default"/>
      </w:rPr>
    </w:lvl>
    <w:lvl w:ilvl="5" w:tplc="FFD6378C" w:tentative="1">
      <w:start w:val="1"/>
      <w:numFmt w:val="bullet"/>
      <w:lvlText w:val=""/>
      <w:lvlJc w:val="left"/>
      <w:pPr>
        <w:ind w:left="4887" w:hanging="360"/>
      </w:pPr>
      <w:rPr>
        <w:rFonts w:ascii="Wingdings" w:hAnsi="Wingdings" w:hint="default"/>
      </w:rPr>
    </w:lvl>
    <w:lvl w:ilvl="6" w:tplc="758E4C30" w:tentative="1">
      <w:start w:val="1"/>
      <w:numFmt w:val="bullet"/>
      <w:lvlText w:val=""/>
      <w:lvlJc w:val="left"/>
      <w:pPr>
        <w:ind w:left="5607" w:hanging="360"/>
      </w:pPr>
      <w:rPr>
        <w:rFonts w:ascii="Symbol" w:hAnsi="Symbol" w:hint="default"/>
      </w:rPr>
    </w:lvl>
    <w:lvl w:ilvl="7" w:tplc="4FC22D6C" w:tentative="1">
      <w:start w:val="1"/>
      <w:numFmt w:val="bullet"/>
      <w:lvlText w:val="o"/>
      <w:lvlJc w:val="left"/>
      <w:pPr>
        <w:ind w:left="6327" w:hanging="360"/>
      </w:pPr>
      <w:rPr>
        <w:rFonts w:ascii="Courier New" w:hAnsi="Courier New" w:cs="Courier New" w:hint="default"/>
      </w:rPr>
    </w:lvl>
    <w:lvl w:ilvl="8" w:tplc="DF6A8684" w:tentative="1">
      <w:start w:val="1"/>
      <w:numFmt w:val="bullet"/>
      <w:lvlText w:val=""/>
      <w:lvlJc w:val="left"/>
      <w:pPr>
        <w:ind w:left="7047" w:hanging="360"/>
      </w:pPr>
      <w:rPr>
        <w:rFonts w:ascii="Wingdings" w:hAnsi="Wingdings" w:hint="default"/>
      </w:rPr>
    </w:lvl>
  </w:abstractNum>
  <w:abstractNum w:abstractNumId="2" w15:restartNumberingAfterBreak="0">
    <w:nsid w:val="12882DB5"/>
    <w:multiLevelType w:val="hybridMultilevel"/>
    <w:tmpl w:val="73562232"/>
    <w:lvl w:ilvl="0" w:tplc="5F049D7A">
      <w:start w:val="1"/>
      <w:numFmt w:val="bullet"/>
      <w:lvlText w:val=""/>
      <w:lvlJc w:val="left"/>
      <w:pPr>
        <w:ind w:left="720" w:hanging="360"/>
      </w:pPr>
      <w:rPr>
        <w:rFonts w:ascii="Symbol" w:hAnsi="Symbol" w:hint="default"/>
      </w:rPr>
    </w:lvl>
    <w:lvl w:ilvl="1" w:tplc="D7464CD6" w:tentative="1">
      <w:start w:val="1"/>
      <w:numFmt w:val="bullet"/>
      <w:lvlText w:val="o"/>
      <w:lvlJc w:val="left"/>
      <w:pPr>
        <w:ind w:left="1440" w:hanging="360"/>
      </w:pPr>
      <w:rPr>
        <w:rFonts w:ascii="Courier New" w:hAnsi="Courier New" w:cs="Courier New" w:hint="default"/>
      </w:rPr>
    </w:lvl>
    <w:lvl w:ilvl="2" w:tplc="13ACF66C" w:tentative="1">
      <w:start w:val="1"/>
      <w:numFmt w:val="bullet"/>
      <w:lvlText w:val=""/>
      <w:lvlJc w:val="left"/>
      <w:pPr>
        <w:ind w:left="2160" w:hanging="360"/>
      </w:pPr>
      <w:rPr>
        <w:rFonts w:ascii="Wingdings" w:hAnsi="Wingdings" w:hint="default"/>
      </w:rPr>
    </w:lvl>
    <w:lvl w:ilvl="3" w:tplc="41969C12" w:tentative="1">
      <w:start w:val="1"/>
      <w:numFmt w:val="bullet"/>
      <w:lvlText w:val=""/>
      <w:lvlJc w:val="left"/>
      <w:pPr>
        <w:ind w:left="2880" w:hanging="360"/>
      </w:pPr>
      <w:rPr>
        <w:rFonts w:ascii="Symbol" w:hAnsi="Symbol" w:hint="default"/>
      </w:rPr>
    </w:lvl>
    <w:lvl w:ilvl="4" w:tplc="08BEC74E" w:tentative="1">
      <w:start w:val="1"/>
      <w:numFmt w:val="bullet"/>
      <w:lvlText w:val="o"/>
      <w:lvlJc w:val="left"/>
      <w:pPr>
        <w:ind w:left="3600" w:hanging="360"/>
      </w:pPr>
      <w:rPr>
        <w:rFonts w:ascii="Courier New" w:hAnsi="Courier New" w:cs="Courier New" w:hint="default"/>
      </w:rPr>
    </w:lvl>
    <w:lvl w:ilvl="5" w:tplc="9BE2B050" w:tentative="1">
      <w:start w:val="1"/>
      <w:numFmt w:val="bullet"/>
      <w:lvlText w:val=""/>
      <w:lvlJc w:val="left"/>
      <w:pPr>
        <w:ind w:left="4320" w:hanging="360"/>
      </w:pPr>
      <w:rPr>
        <w:rFonts w:ascii="Wingdings" w:hAnsi="Wingdings" w:hint="default"/>
      </w:rPr>
    </w:lvl>
    <w:lvl w:ilvl="6" w:tplc="61D6EEA4" w:tentative="1">
      <w:start w:val="1"/>
      <w:numFmt w:val="bullet"/>
      <w:lvlText w:val=""/>
      <w:lvlJc w:val="left"/>
      <w:pPr>
        <w:ind w:left="5040" w:hanging="360"/>
      </w:pPr>
      <w:rPr>
        <w:rFonts w:ascii="Symbol" w:hAnsi="Symbol" w:hint="default"/>
      </w:rPr>
    </w:lvl>
    <w:lvl w:ilvl="7" w:tplc="C00E4C48" w:tentative="1">
      <w:start w:val="1"/>
      <w:numFmt w:val="bullet"/>
      <w:lvlText w:val="o"/>
      <w:lvlJc w:val="left"/>
      <w:pPr>
        <w:ind w:left="5760" w:hanging="360"/>
      </w:pPr>
      <w:rPr>
        <w:rFonts w:ascii="Courier New" w:hAnsi="Courier New" w:cs="Courier New" w:hint="default"/>
      </w:rPr>
    </w:lvl>
    <w:lvl w:ilvl="8" w:tplc="DA52F97C" w:tentative="1">
      <w:start w:val="1"/>
      <w:numFmt w:val="bullet"/>
      <w:lvlText w:val=""/>
      <w:lvlJc w:val="left"/>
      <w:pPr>
        <w:ind w:left="6480" w:hanging="360"/>
      </w:pPr>
      <w:rPr>
        <w:rFonts w:ascii="Wingdings" w:hAnsi="Wingdings" w:hint="default"/>
      </w:rPr>
    </w:lvl>
  </w:abstractNum>
  <w:abstractNum w:abstractNumId="3" w15:restartNumberingAfterBreak="0">
    <w:nsid w:val="12DD4C0B"/>
    <w:multiLevelType w:val="hybridMultilevel"/>
    <w:tmpl w:val="EA0447CA"/>
    <w:lvl w:ilvl="0" w:tplc="536252AA">
      <w:start w:val="1"/>
      <w:numFmt w:val="bullet"/>
      <w:lvlText w:val=""/>
      <w:lvlJc w:val="left"/>
      <w:pPr>
        <w:ind w:left="720" w:hanging="360"/>
      </w:pPr>
      <w:rPr>
        <w:rFonts w:ascii="Symbol" w:hAnsi="Symbol" w:hint="default"/>
      </w:rPr>
    </w:lvl>
    <w:lvl w:ilvl="1" w:tplc="B9F465D4" w:tentative="1">
      <w:start w:val="1"/>
      <w:numFmt w:val="bullet"/>
      <w:lvlText w:val="o"/>
      <w:lvlJc w:val="left"/>
      <w:pPr>
        <w:ind w:left="1440" w:hanging="360"/>
      </w:pPr>
      <w:rPr>
        <w:rFonts w:ascii="Courier New" w:hAnsi="Courier New" w:cs="Courier New" w:hint="default"/>
      </w:rPr>
    </w:lvl>
    <w:lvl w:ilvl="2" w:tplc="0EC279B0" w:tentative="1">
      <w:start w:val="1"/>
      <w:numFmt w:val="bullet"/>
      <w:lvlText w:val=""/>
      <w:lvlJc w:val="left"/>
      <w:pPr>
        <w:ind w:left="2160" w:hanging="360"/>
      </w:pPr>
      <w:rPr>
        <w:rFonts w:ascii="Wingdings" w:hAnsi="Wingdings" w:hint="default"/>
      </w:rPr>
    </w:lvl>
    <w:lvl w:ilvl="3" w:tplc="FB1E74D2" w:tentative="1">
      <w:start w:val="1"/>
      <w:numFmt w:val="bullet"/>
      <w:lvlText w:val=""/>
      <w:lvlJc w:val="left"/>
      <w:pPr>
        <w:ind w:left="2880" w:hanging="360"/>
      </w:pPr>
      <w:rPr>
        <w:rFonts w:ascii="Symbol" w:hAnsi="Symbol" w:hint="default"/>
      </w:rPr>
    </w:lvl>
    <w:lvl w:ilvl="4" w:tplc="13B2D2E2" w:tentative="1">
      <w:start w:val="1"/>
      <w:numFmt w:val="bullet"/>
      <w:lvlText w:val="o"/>
      <w:lvlJc w:val="left"/>
      <w:pPr>
        <w:ind w:left="3600" w:hanging="360"/>
      </w:pPr>
      <w:rPr>
        <w:rFonts w:ascii="Courier New" w:hAnsi="Courier New" w:cs="Courier New" w:hint="default"/>
      </w:rPr>
    </w:lvl>
    <w:lvl w:ilvl="5" w:tplc="AFBC621E" w:tentative="1">
      <w:start w:val="1"/>
      <w:numFmt w:val="bullet"/>
      <w:lvlText w:val=""/>
      <w:lvlJc w:val="left"/>
      <w:pPr>
        <w:ind w:left="4320" w:hanging="360"/>
      </w:pPr>
      <w:rPr>
        <w:rFonts w:ascii="Wingdings" w:hAnsi="Wingdings" w:hint="default"/>
      </w:rPr>
    </w:lvl>
    <w:lvl w:ilvl="6" w:tplc="832A6DC8" w:tentative="1">
      <w:start w:val="1"/>
      <w:numFmt w:val="bullet"/>
      <w:lvlText w:val=""/>
      <w:lvlJc w:val="left"/>
      <w:pPr>
        <w:ind w:left="5040" w:hanging="360"/>
      </w:pPr>
      <w:rPr>
        <w:rFonts w:ascii="Symbol" w:hAnsi="Symbol" w:hint="default"/>
      </w:rPr>
    </w:lvl>
    <w:lvl w:ilvl="7" w:tplc="1236ED34" w:tentative="1">
      <w:start w:val="1"/>
      <w:numFmt w:val="bullet"/>
      <w:lvlText w:val="o"/>
      <w:lvlJc w:val="left"/>
      <w:pPr>
        <w:ind w:left="5760" w:hanging="360"/>
      </w:pPr>
      <w:rPr>
        <w:rFonts w:ascii="Courier New" w:hAnsi="Courier New" w:cs="Courier New" w:hint="default"/>
      </w:rPr>
    </w:lvl>
    <w:lvl w:ilvl="8" w:tplc="AB4C040C" w:tentative="1">
      <w:start w:val="1"/>
      <w:numFmt w:val="bullet"/>
      <w:lvlText w:val=""/>
      <w:lvlJc w:val="left"/>
      <w:pPr>
        <w:ind w:left="6480" w:hanging="360"/>
      </w:pPr>
      <w:rPr>
        <w:rFonts w:ascii="Wingdings" w:hAnsi="Wingdings" w:hint="default"/>
      </w:rPr>
    </w:lvl>
  </w:abstractNum>
  <w:abstractNum w:abstractNumId="4" w15:restartNumberingAfterBreak="0">
    <w:nsid w:val="14F06F8C"/>
    <w:multiLevelType w:val="multilevel"/>
    <w:tmpl w:val="5330D414"/>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18552461"/>
    <w:multiLevelType w:val="hybridMultilevel"/>
    <w:tmpl w:val="C1185C4A"/>
    <w:lvl w:ilvl="0" w:tplc="F566CF64">
      <w:start w:val="1"/>
      <w:numFmt w:val="bullet"/>
      <w:lvlText w:val=""/>
      <w:lvlJc w:val="left"/>
      <w:pPr>
        <w:ind w:left="720" w:hanging="360"/>
      </w:pPr>
      <w:rPr>
        <w:rFonts w:ascii="Symbol" w:hAnsi="Symbol" w:hint="default"/>
      </w:rPr>
    </w:lvl>
    <w:lvl w:ilvl="1" w:tplc="A5C2993A" w:tentative="1">
      <w:start w:val="1"/>
      <w:numFmt w:val="bullet"/>
      <w:lvlText w:val="o"/>
      <w:lvlJc w:val="left"/>
      <w:pPr>
        <w:ind w:left="1440" w:hanging="360"/>
      </w:pPr>
      <w:rPr>
        <w:rFonts w:ascii="Courier New" w:hAnsi="Courier New" w:cs="Courier New" w:hint="default"/>
      </w:rPr>
    </w:lvl>
    <w:lvl w:ilvl="2" w:tplc="AB682960" w:tentative="1">
      <w:start w:val="1"/>
      <w:numFmt w:val="bullet"/>
      <w:lvlText w:val=""/>
      <w:lvlJc w:val="left"/>
      <w:pPr>
        <w:ind w:left="2160" w:hanging="360"/>
      </w:pPr>
      <w:rPr>
        <w:rFonts w:ascii="Wingdings" w:hAnsi="Wingdings" w:hint="default"/>
      </w:rPr>
    </w:lvl>
    <w:lvl w:ilvl="3" w:tplc="AB30BEDC" w:tentative="1">
      <w:start w:val="1"/>
      <w:numFmt w:val="bullet"/>
      <w:lvlText w:val=""/>
      <w:lvlJc w:val="left"/>
      <w:pPr>
        <w:ind w:left="2880" w:hanging="360"/>
      </w:pPr>
      <w:rPr>
        <w:rFonts w:ascii="Symbol" w:hAnsi="Symbol" w:hint="default"/>
      </w:rPr>
    </w:lvl>
    <w:lvl w:ilvl="4" w:tplc="A7EEF946" w:tentative="1">
      <w:start w:val="1"/>
      <w:numFmt w:val="bullet"/>
      <w:lvlText w:val="o"/>
      <w:lvlJc w:val="left"/>
      <w:pPr>
        <w:ind w:left="3600" w:hanging="360"/>
      </w:pPr>
      <w:rPr>
        <w:rFonts w:ascii="Courier New" w:hAnsi="Courier New" w:cs="Courier New" w:hint="default"/>
      </w:rPr>
    </w:lvl>
    <w:lvl w:ilvl="5" w:tplc="9DC62098" w:tentative="1">
      <w:start w:val="1"/>
      <w:numFmt w:val="bullet"/>
      <w:lvlText w:val=""/>
      <w:lvlJc w:val="left"/>
      <w:pPr>
        <w:ind w:left="4320" w:hanging="360"/>
      </w:pPr>
      <w:rPr>
        <w:rFonts w:ascii="Wingdings" w:hAnsi="Wingdings" w:hint="default"/>
      </w:rPr>
    </w:lvl>
    <w:lvl w:ilvl="6" w:tplc="BBBC9E7A" w:tentative="1">
      <w:start w:val="1"/>
      <w:numFmt w:val="bullet"/>
      <w:lvlText w:val=""/>
      <w:lvlJc w:val="left"/>
      <w:pPr>
        <w:ind w:left="5040" w:hanging="360"/>
      </w:pPr>
      <w:rPr>
        <w:rFonts w:ascii="Symbol" w:hAnsi="Symbol" w:hint="default"/>
      </w:rPr>
    </w:lvl>
    <w:lvl w:ilvl="7" w:tplc="1A70BBCE" w:tentative="1">
      <w:start w:val="1"/>
      <w:numFmt w:val="bullet"/>
      <w:lvlText w:val="o"/>
      <w:lvlJc w:val="left"/>
      <w:pPr>
        <w:ind w:left="5760" w:hanging="360"/>
      </w:pPr>
      <w:rPr>
        <w:rFonts w:ascii="Courier New" w:hAnsi="Courier New" w:cs="Courier New" w:hint="default"/>
      </w:rPr>
    </w:lvl>
    <w:lvl w:ilvl="8" w:tplc="654437BE" w:tentative="1">
      <w:start w:val="1"/>
      <w:numFmt w:val="bullet"/>
      <w:lvlText w:val=""/>
      <w:lvlJc w:val="left"/>
      <w:pPr>
        <w:ind w:left="6480" w:hanging="360"/>
      </w:pPr>
      <w:rPr>
        <w:rFonts w:ascii="Wingdings" w:hAnsi="Wingdings" w:hint="default"/>
      </w:rPr>
    </w:lvl>
  </w:abstractNum>
  <w:abstractNum w:abstractNumId="6" w15:restartNumberingAfterBreak="0">
    <w:nsid w:val="20A64523"/>
    <w:multiLevelType w:val="multilevel"/>
    <w:tmpl w:val="2C3E9C90"/>
    <w:lvl w:ilvl="0">
      <w:start w:val="3"/>
      <w:numFmt w:val="decimal"/>
      <w:lvlText w:val="%1"/>
      <w:lvlJc w:val="left"/>
      <w:pPr>
        <w:ind w:left="525" w:hanging="525"/>
      </w:pPr>
      <w:rPr>
        <w:rFonts w:hint="default"/>
        <w:b/>
      </w:rPr>
    </w:lvl>
    <w:lvl w:ilvl="1">
      <w:start w:val="1"/>
      <w:numFmt w:val="decimal"/>
      <w:lvlText w:val="%1.%2"/>
      <w:lvlJc w:val="left"/>
      <w:pPr>
        <w:ind w:left="808" w:hanging="525"/>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7" w15:restartNumberingAfterBreak="0">
    <w:nsid w:val="322A4331"/>
    <w:multiLevelType w:val="multilevel"/>
    <w:tmpl w:val="AD88DBE0"/>
    <w:lvl w:ilvl="0">
      <w:start w:val="1"/>
      <w:numFmt w:val="decimal"/>
      <w:lvlText w:val="%1."/>
      <w:lvlJc w:val="left"/>
      <w:pPr>
        <w:tabs>
          <w:tab w:val="num" w:pos="862"/>
        </w:tabs>
        <w:ind w:left="862" w:hanging="720"/>
      </w:pPr>
      <w:rPr>
        <w:rFonts w:hint="default"/>
        <w:b/>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2DE378D"/>
    <w:multiLevelType w:val="hybridMultilevel"/>
    <w:tmpl w:val="669255CA"/>
    <w:lvl w:ilvl="0" w:tplc="A664D002">
      <w:start w:val="1"/>
      <w:numFmt w:val="bullet"/>
      <w:pStyle w:val="Bullet"/>
      <w:lvlText w:val=""/>
      <w:lvlJc w:val="left"/>
      <w:pPr>
        <w:ind w:left="363" w:hanging="360"/>
      </w:pPr>
      <w:rPr>
        <w:rFonts w:ascii="Symbol" w:hAnsi="Symbol" w:hint="default"/>
      </w:rPr>
    </w:lvl>
    <w:lvl w:ilvl="1" w:tplc="9458609E">
      <w:start w:val="1"/>
      <w:numFmt w:val="bullet"/>
      <w:pStyle w:val="Bullet-indent"/>
      <w:lvlText w:val="o"/>
      <w:lvlJc w:val="left"/>
      <w:pPr>
        <w:ind w:left="1083" w:hanging="360"/>
      </w:pPr>
      <w:rPr>
        <w:rFonts w:ascii="Courier New" w:hAnsi="Courier New" w:cs="Courier New" w:hint="default"/>
      </w:rPr>
    </w:lvl>
    <w:lvl w:ilvl="2" w:tplc="E6D06FB6" w:tentative="1">
      <w:start w:val="1"/>
      <w:numFmt w:val="bullet"/>
      <w:lvlText w:val=""/>
      <w:lvlJc w:val="left"/>
      <w:pPr>
        <w:ind w:left="1803" w:hanging="360"/>
      </w:pPr>
      <w:rPr>
        <w:rFonts w:ascii="Wingdings" w:hAnsi="Wingdings" w:hint="default"/>
      </w:rPr>
    </w:lvl>
    <w:lvl w:ilvl="3" w:tplc="FDE6E35A" w:tentative="1">
      <w:start w:val="1"/>
      <w:numFmt w:val="bullet"/>
      <w:lvlText w:val=""/>
      <w:lvlJc w:val="left"/>
      <w:pPr>
        <w:ind w:left="2523" w:hanging="360"/>
      </w:pPr>
      <w:rPr>
        <w:rFonts w:ascii="Symbol" w:hAnsi="Symbol" w:hint="default"/>
      </w:rPr>
    </w:lvl>
    <w:lvl w:ilvl="4" w:tplc="7B88AA84" w:tentative="1">
      <w:start w:val="1"/>
      <w:numFmt w:val="bullet"/>
      <w:lvlText w:val="o"/>
      <w:lvlJc w:val="left"/>
      <w:pPr>
        <w:ind w:left="3243" w:hanging="360"/>
      </w:pPr>
      <w:rPr>
        <w:rFonts w:ascii="Courier New" w:hAnsi="Courier New" w:cs="Courier New" w:hint="default"/>
      </w:rPr>
    </w:lvl>
    <w:lvl w:ilvl="5" w:tplc="3328E666" w:tentative="1">
      <w:start w:val="1"/>
      <w:numFmt w:val="bullet"/>
      <w:lvlText w:val=""/>
      <w:lvlJc w:val="left"/>
      <w:pPr>
        <w:ind w:left="3963" w:hanging="360"/>
      </w:pPr>
      <w:rPr>
        <w:rFonts w:ascii="Wingdings" w:hAnsi="Wingdings" w:hint="default"/>
      </w:rPr>
    </w:lvl>
    <w:lvl w:ilvl="6" w:tplc="6832D996" w:tentative="1">
      <w:start w:val="1"/>
      <w:numFmt w:val="bullet"/>
      <w:lvlText w:val=""/>
      <w:lvlJc w:val="left"/>
      <w:pPr>
        <w:ind w:left="4683" w:hanging="360"/>
      </w:pPr>
      <w:rPr>
        <w:rFonts w:ascii="Symbol" w:hAnsi="Symbol" w:hint="default"/>
      </w:rPr>
    </w:lvl>
    <w:lvl w:ilvl="7" w:tplc="C7F48CF0" w:tentative="1">
      <w:start w:val="1"/>
      <w:numFmt w:val="bullet"/>
      <w:lvlText w:val="o"/>
      <w:lvlJc w:val="left"/>
      <w:pPr>
        <w:ind w:left="5403" w:hanging="360"/>
      </w:pPr>
      <w:rPr>
        <w:rFonts w:ascii="Courier New" w:hAnsi="Courier New" w:cs="Courier New" w:hint="default"/>
      </w:rPr>
    </w:lvl>
    <w:lvl w:ilvl="8" w:tplc="71D6A4B0" w:tentative="1">
      <w:start w:val="1"/>
      <w:numFmt w:val="bullet"/>
      <w:lvlText w:val=""/>
      <w:lvlJc w:val="left"/>
      <w:pPr>
        <w:ind w:left="6123" w:hanging="360"/>
      </w:pPr>
      <w:rPr>
        <w:rFonts w:ascii="Wingdings" w:hAnsi="Wingdings" w:hint="default"/>
      </w:rPr>
    </w:lvl>
  </w:abstractNum>
  <w:abstractNum w:abstractNumId="9" w15:restartNumberingAfterBreak="0">
    <w:nsid w:val="39A51D7B"/>
    <w:multiLevelType w:val="hybridMultilevel"/>
    <w:tmpl w:val="517EABC2"/>
    <w:lvl w:ilvl="0" w:tplc="9716A2A8">
      <w:start w:val="1"/>
      <w:numFmt w:val="bullet"/>
      <w:lvlText w:val=""/>
      <w:lvlJc w:val="left"/>
      <w:pPr>
        <w:ind w:left="720" w:hanging="360"/>
      </w:pPr>
      <w:rPr>
        <w:rFonts w:ascii="Symbol" w:hAnsi="Symbol" w:hint="default"/>
      </w:rPr>
    </w:lvl>
    <w:lvl w:ilvl="1" w:tplc="A1B65FDC" w:tentative="1">
      <w:start w:val="1"/>
      <w:numFmt w:val="bullet"/>
      <w:lvlText w:val="o"/>
      <w:lvlJc w:val="left"/>
      <w:pPr>
        <w:ind w:left="1440" w:hanging="360"/>
      </w:pPr>
      <w:rPr>
        <w:rFonts w:ascii="Courier New" w:hAnsi="Courier New" w:cs="Courier New" w:hint="default"/>
      </w:rPr>
    </w:lvl>
    <w:lvl w:ilvl="2" w:tplc="E7E25F44" w:tentative="1">
      <w:start w:val="1"/>
      <w:numFmt w:val="bullet"/>
      <w:lvlText w:val=""/>
      <w:lvlJc w:val="left"/>
      <w:pPr>
        <w:ind w:left="2160" w:hanging="360"/>
      </w:pPr>
      <w:rPr>
        <w:rFonts w:ascii="Wingdings" w:hAnsi="Wingdings" w:hint="default"/>
      </w:rPr>
    </w:lvl>
    <w:lvl w:ilvl="3" w:tplc="41164A26" w:tentative="1">
      <w:start w:val="1"/>
      <w:numFmt w:val="bullet"/>
      <w:lvlText w:val=""/>
      <w:lvlJc w:val="left"/>
      <w:pPr>
        <w:ind w:left="2880" w:hanging="360"/>
      </w:pPr>
      <w:rPr>
        <w:rFonts w:ascii="Symbol" w:hAnsi="Symbol" w:hint="default"/>
      </w:rPr>
    </w:lvl>
    <w:lvl w:ilvl="4" w:tplc="1C58C5B4" w:tentative="1">
      <w:start w:val="1"/>
      <w:numFmt w:val="bullet"/>
      <w:lvlText w:val="o"/>
      <w:lvlJc w:val="left"/>
      <w:pPr>
        <w:ind w:left="3600" w:hanging="360"/>
      </w:pPr>
      <w:rPr>
        <w:rFonts w:ascii="Courier New" w:hAnsi="Courier New" w:cs="Courier New" w:hint="default"/>
      </w:rPr>
    </w:lvl>
    <w:lvl w:ilvl="5" w:tplc="46A48D5E" w:tentative="1">
      <w:start w:val="1"/>
      <w:numFmt w:val="bullet"/>
      <w:lvlText w:val=""/>
      <w:lvlJc w:val="left"/>
      <w:pPr>
        <w:ind w:left="4320" w:hanging="360"/>
      </w:pPr>
      <w:rPr>
        <w:rFonts w:ascii="Wingdings" w:hAnsi="Wingdings" w:hint="default"/>
      </w:rPr>
    </w:lvl>
    <w:lvl w:ilvl="6" w:tplc="EE503B84" w:tentative="1">
      <w:start w:val="1"/>
      <w:numFmt w:val="bullet"/>
      <w:lvlText w:val=""/>
      <w:lvlJc w:val="left"/>
      <w:pPr>
        <w:ind w:left="5040" w:hanging="360"/>
      </w:pPr>
      <w:rPr>
        <w:rFonts w:ascii="Symbol" w:hAnsi="Symbol" w:hint="default"/>
      </w:rPr>
    </w:lvl>
    <w:lvl w:ilvl="7" w:tplc="9DCE967E" w:tentative="1">
      <w:start w:val="1"/>
      <w:numFmt w:val="bullet"/>
      <w:lvlText w:val="o"/>
      <w:lvlJc w:val="left"/>
      <w:pPr>
        <w:ind w:left="5760" w:hanging="360"/>
      </w:pPr>
      <w:rPr>
        <w:rFonts w:ascii="Courier New" w:hAnsi="Courier New" w:cs="Courier New" w:hint="default"/>
      </w:rPr>
    </w:lvl>
    <w:lvl w:ilvl="8" w:tplc="CAD020BC" w:tentative="1">
      <w:start w:val="1"/>
      <w:numFmt w:val="bullet"/>
      <w:lvlText w:val=""/>
      <w:lvlJc w:val="left"/>
      <w:pPr>
        <w:ind w:left="6480" w:hanging="360"/>
      </w:pPr>
      <w:rPr>
        <w:rFonts w:ascii="Wingdings" w:hAnsi="Wingdings" w:hint="default"/>
      </w:rPr>
    </w:lvl>
  </w:abstractNum>
  <w:abstractNum w:abstractNumId="10" w15:restartNumberingAfterBreak="0">
    <w:nsid w:val="3AE765D5"/>
    <w:multiLevelType w:val="hybridMultilevel"/>
    <w:tmpl w:val="BDC497E8"/>
    <w:lvl w:ilvl="0" w:tplc="B78645E0">
      <w:start w:val="1"/>
      <w:numFmt w:val="bullet"/>
      <w:lvlText w:val=""/>
      <w:lvlJc w:val="left"/>
      <w:pPr>
        <w:ind w:left="717" w:hanging="360"/>
      </w:pPr>
      <w:rPr>
        <w:rFonts w:ascii="Symbol" w:hAnsi="Symbol" w:hint="default"/>
      </w:rPr>
    </w:lvl>
    <w:lvl w:ilvl="1" w:tplc="F8D0E08C" w:tentative="1">
      <w:start w:val="1"/>
      <w:numFmt w:val="bullet"/>
      <w:lvlText w:val="o"/>
      <w:lvlJc w:val="left"/>
      <w:pPr>
        <w:ind w:left="1437" w:hanging="360"/>
      </w:pPr>
      <w:rPr>
        <w:rFonts w:ascii="Courier New" w:hAnsi="Courier New" w:cs="Courier New" w:hint="default"/>
      </w:rPr>
    </w:lvl>
    <w:lvl w:ilvl="2" w:tplc="FCA6FD32" w:tentative="1">
      <w:start w:val="1"/>
      <w:numFmt w:val="bullet"/>
      <w:lvlText w:val=""/>
      <w:lvlJc w:val="left"/>
      <w:pPr>
        <w:ind w:left="2157" w:hanging="360"/>
      </w:pPr>
      <w:rPr>
        <w:rFonts w:ascii="Wingdings" w:hAnsi="Wingdings" w:hint="default"/>
      </w:rPr>
    </w:lvl>
    <w:lvl w:ilvl="3" w:tplc="32F6604E" w:tentative="1">
      <w:start w:val="1"/>
      <w:numFmt w:val="bullet"/>
      <w:lvlText w:val=""/>
      <w:lvlJc w:val="left"/>
      <w:pPr>
        <w:ind w:left="2877" w:hanging="360"/>
      </w:pPr>
      <w:rPr>
        <w:rFonts w:ascii="Symbol" w:hAnsi="Symbol" w:hint="default"/>
      </w:rPr>
    </w:lvl>
    <w:lvl w:ilvl="4" w:tplc="EF565DDA" w:tentative="1">
      <w:start w:val="1"/>
      <w:numFmt w:val="bullet"/>
      <w:lvlText w:val="o"/>
      <w:lvlJc w:val="left"/>
      <w:pPr>
        <w:ind w:left="3597" w:hanging="360"/>
      </w:pPr>
      <w:rPr>
        <w:rFonts w:ascii="Courier New" w:hAnsi="Courier New" w:cs="Courier New" w:hint="default"/>
      </w:rPr>
    </w:lvl>
    <w:lvl w:ilvl="5" w:tplc="FE98B4EC" w:tentative="1">
      <w:start w:val="1"/>
      <w:numFmt w:val="bullet"/>
      <w:lvlText w:val=""/>
      <w:lvlJc w:val="left"/>
      <w:pPr>
        <w:ind w:left="4317" w:hanging="360"/>
      </w:pPr>
      <w:rPr>
        <w:rFonts w:ascii="Wingdings" w:hAnsi="Wingdings" w:hint="default"/>
      </w:rPr>
    </w:lvl>
    <w:lvl w:ilvl="6" w:tplc="36941EE8" w:tentative="1">
      <w:start w:val="1"/>
      <w:numFmt w:val="bullet"/>
      <w:lvlText w:val=""/>
      <w:lvlJc w:val="left"/>
      <w:pPr>
        <w:ind w:left="5037" w:hanging="360"/>
      </w:pPr>
      <w:rPr>
        <w:rFonts w:ascii="Symbol" w:hAnsi="Symbol" w:hint="default"/>
      </w:rPr>
    </w:lvl>
    <w:lvl w:ilvl="7" w:tplc="06100C52" w:tentative="1">
      <w:start w:val="1"/>
      <w:numFmt w:val="bullet"/>
      <w:lvlText w:val="o"/>
      <w:lvlJc w:val="left"/>
      <w:pPr>
        <w:ind w:left="5757" w:hanging="360"/>
      </w:pPr>
      <w:rPr>
        <w:rFonts w:ascii="Courier New" w:hAnsi="Courier New" w:cs="Courier New" w:hint="default"/>
      </w:rPr>
    </w:lvl>
    <w:lvl w:ilvl="8" w:tplc="FA146ED2" w:tentative="1">
      <w:start w:val="1"/>
      <w:numFmt w:val="bullet"/>
      <w:lvlText w:val=""/>
      <w:lvlJc w:val="left"/>
      <w:pPr>
        <w:ind w:left="6477" w:hanging="360"/>
      </w:pPr>
      <w:rPr>
        <w:rFonts w:ascii="Wingdings" w:hAnsi="Wingdings" w:hint="default"/>
      </w:rPr>
    </w:lvl>
  </w:abstractNum>
  <w:abstractNum w:abstractNumId="11" w15:restartNumberingAfterBreak="0">
    <w:nsid w:val="411B5D08"/>
    <w:multiLevelType w:val="hybridMultilevel"/>
    <w:tmpl w:val="5D4470DC"/>
    <w:lvl w:ilvl="0" w:tplc="13446998">
      <w:start w:val="1"/>
      <w:numFmt w:val="bullet"/>
      <w:lvlText w:val=""/>
      <w:lvlJc w:val="left"/>
      <w:pPr>
        <w:ind w:left="1353" w:hanging="360"/>
      </w:pPr>
      <w:rPr>
        <w:rFonts w:ascii="Symbol" w:hAnsi="Symbol" w:hint="default"/>
      </w:rPr>
    </w:lvl>
    <w:lvl w:ilvl="1" w:tplc="51CA4C92" w:tentative="1">
      <w:start w:val="1"/>
      <w:numFmt w:val="bullet"/>
      <w:lvlText w:val="o"/>
      <w:lvlJc w:val="left"/>
      <w:pPr>
        <w:ind w:left="1440" w:hanging="360"/>
      </w:pPr>
      <w:rPr>
        <w:rFonts w:ascii="Courier New" w:hAnsi="Courier New" w:cs="Courier New" w:hint="default"/>
      </w:rPr>
    </w:lvl>
    <w:lvl w:ilvl="2" w:tplc="D6B8D0B2" w:tentative="1">
      <w:start w:val="1"/>
      <w:numFmt w:val="bullet"/>
      <w:lvlText w:val=""/>
      <w:lvlJc w:val="left"/>
      <w:pPr>
        <w:ind w:left="2160" w:hanging="360"/>
      </w:pPr>
      <w:rPr>
        <w:rFonts w:ascii="Wingdings" w:hAnsi="Wingdings" w:hint="default"/>
      </w:rPr>
    </w:lvl>
    <w:lvl w:ilvl="3" w:tplc="FAA08B44" w:tentative="1">
      <w:start w:val="1"/>
      <w:numFmt w:val="bullet"/>
      <w:lvlText w:val=""/>
      <w:lvlJc w:val="left"/>
      <w:pPr>
        <w:ind w:left="2880" w:hanging="360"/>
      </w:pPr>
      <w:rPr>
        <w:rFonts w:ascii="Symbol" w:hAnsi="Symbol" w:hint="default"/>
      </w:rPr>
    </w:lvl>
    <w:lvl w:ilvl="4" w:tplc="3056A656" w:tentative="1">
      <w:start w:val="1"/>
      <w:numFmt w:val="bullet"/>
      <w:lvlText w:val="o"/>
      <w:lvlJc w:val="left"/>
      <w:pPr>
        <w:ind w:left="3600" w:hanging="360"/>
      </w:pPr>
      <w:rPr>
        <w:rFonts w:ascii="Courier New" w:hAnsi="Courier New" w:cs="Courier New" w:hint="default"/>
      </w:rPr>
    </w:lvl>
    <w:lvl w:ilvl="5" w:tplc="B164EB18" w:tentative="1">
      <w:start w:val="1"/>
      <w:numFmt w:val="bullet"/>
      <w:lvlText w:val=""/>
      <w:lvlJc w:val="left"/>
      <w:pPr>
        <w:ind w:left="4320" w:hanging="360"/>
      </w:pPr>
      <w:rPr>
        <w:rFonts w:ascii="Wingdings" w:hAnsi="Wingdings" w:hint="default"/>
      </w:rPr>
    </w:lvl>
    <w:lvl w:ilvl="6" w:tplc="77407354" w:tentative="1">
      <w:start w:val="1"/>
      <w:numFmt w:val="bullet"/>
      <w:lvlText w:val=""/>
      <w:lvlJc w:val="left"/>
      <w:pPr>
        <w:ind w:left="5040" w:hanging="360"/>
      </w:pPr>
      <w:rPr>
        <w:rFonts w:ascii="Symbol" w:hAnsi="Symbol" w:hint="default"/>
      </w:rPr>
    </w:lvl>
    <w:lvl w:ilvl="7" w:tplc="E634117E" w:tentative="1">
      <w:start w:val="1"/>
      <w:numFmt w:val="bullet"/>
      <w:lvlText w:val="o"/>
      <w:lvlJc w:val="left"/>
      <w:pPr>
        <w:ind w:left="5760" w:hanging="360"/>
      </w:pPr>
      <w:rPr>
        <w:rFonts w:ascii="Courier New" w:hAnsi="Courier New" w:cs="Courier New" w:hint="default"/>
      </w:rPr>
    </w:lvl>
    <w:lvl w:ilvl="8" w:tplc="82AECBF6" w:tentative="1">
      <w:start w:val="1"/>
      <w:numFmt w:val="bullet"/>
      <w:lvlText w:val=""/>
      <w:lvlJc w:val="left"/>
      <w:pPr>
        <w:ind w:left="6480" w:hanging="360"/>
      </w:pPr>
      <w:rPr>
        <w:rFonts w:ascii="Wingdings" w:hAnsi="Wingdings" w:hint="default"/>
      </w:rPr>
    </w:lvl>
  </w:abstractNum>
  <w:abstractNum w:abstractNumId="12" w15:restartNumberingAfterBreak="0">
    <w:nsid w:val="420860A3"/>
    <w:multiLevelType w:val="hybridMultilevel"/>
    <w:tmpl w:val="2DF6A548"/>
    <w:lvl w:ilvl="0" w:tplc="A4D28B10">
      <w:start w:val="1"/>
      <w:numFmt w:val="decimal"/>
      <w:pStyle w:val="Heading2-numbered"/>
      <w:lvlText w:val="%1."/>
      <w:lvlJc w:val="left"/>
      <w:pPr>
        <w:ind w:left="360" w:hanging="360"/>
      </w:pPr>
    </w:lvl>
    <w:lvl w:ilvl="1" w:tplc="811CB6D8" w:tentative="1">
      <w:start w:val="1"/>
      <w:numFmt w:val="lowerLetter"/>
      <w:lvlText w:val="%2."/>
      <w:lvlJc w:val="left"/>
      <w:pPr>
        <w:ind w:left="1080" w:hanging="360"/>
      </w:pPr>
    </w:lvl>
    <w:lvl w:ilvl="2" w:tplc="F0F46CEC" w:tentative="1">
      <w:start w:val="1"/>
      <w:numFmt w:val="lowerRoman"/>
      <w:lvlText w:val="%3."/>
      <w:lvlJc w:val="right"/>
      <w:pPr>
        <w:ind w:left="1800" w:hanging="180"/>
      </w:pPr>
    </w:lvl>
    <w:lvl w:ilvl="3" w:tplc="26A85018" w:tentative="1">
      <w:start w:val="1"/>
      <w:numFmt w:val="decimal"/>
      <w:lvlText w:val="%4."/>
      <w:lvlJc w:val="left"/>
      <w:pPr>
        <w:ind w:left="2520" w:hanging="360"/>
      </w:pPr>
    </w:lvl>
    <w:lvl w:ilvl="4" w:tplc="2632A99A" w:tentative="1">
      <w:start w:val="1"/>
      <w:numFmt w:val="lowerLetter"/>
      <w:lvlText w:val="%5."/>
      <w:lvlJc w:val="left"/>
      <w:pPr>
        <w:ind w:left="3240" w:hanging="360"/>
      </w:pPr>
    </w:lvl>
    <w:lvl w:ilvl="5" w:tplc="EB3E3F4E" w:tentative="1">
      <w:start w:val="1"/>
      <w:numFmt w:val="lowerRoman"/>
      <w:lvlText w:val="%6."/>
      <w:lvlJc w:val="right"/>
      <w:pPr>
        <w:ind w:left="3960" w:hanging="180"/>
      </w:pPr>
    </w:lvl>
    <w:lvl w:ilvl="6" w:tplc="22EE5DE6" w:tentative="1">
      <w:start w:val="1"/>
      <w:numFmt w:val="decimal"/>
      <w:lvlText w:val="%7."/>
      <w:lvlJc w:val="left"/>
      <w:pPr>
        <w:ind w:left="4680" w:hanging="360"/>
      </w:pPr>
    </w:lvl>
    <w:lvl w:ilvl="7" w:tplc="A034510C" w:tentative="1">
      <w:start w:val="1"/>
      <w:numFmt w:val="lowerLetter"/>
      <w:lvlText w:val="%8."/>
      <w:lvlJc w:val="left"/>
      <w:pPr>
        <w:ind w:left="5400" w:hanging="360"/>
      </w:pPr>
    </w:lvl>
    <w:lvl w:ilvl="8" w:tplc="911E9298" w:tentative="1">
      <w:start w:val="1"/>
      <w:numFmt w:val="lowerRoman"/>
      <w:lvlText w:val="%9."/>
      <w:lvlJc w:val="right"/>
      <w:pPr>
        <w:ind w:left="6120" w:hanging="180"/>
      </w:pPr>
    </w:lvl>
  </w:abstractNum>
  <w:abstractNum w:abstractNumId="13" w15:restartNumberingAfterBreak="0">
    <w:nsid w:val="4B7F1ADB"/>
    <w:multiLevelType w:val="hybridMultilevel"/>
    <w:tmpl w:val="0D8293F4"/>
    <w:lvl w:ilvl="0" w:tplc="03B4756C">
      <w:start w:val="1"/>
      <w:numFmt w:val="bullet"/>
      <w:lvlText w:val=""/>
      <w:lvlJc w:val="left"/>
      <w:pPr>
        <w:ind w:left="1287" w:hanging="360"/>
      </w:pPr>
      <w:rPr>
        <w:rFonts w:ascii="Symbol" w:hAnsi="Symbol" w:hint="default"/>
      </w:rPr>
    </w:lvl>
    <w:lvl w:ilvl="1" w:tplc="15EE8A40" w:tentative="1">
      <w:start w:val="1"/>
      <w:numFmt w:val="bullet"/>
      <w:lvlText w:val="o"/>
      <w:lvlJc w:val="left"/>
      <w:pPr>
        <w:ind w:left="2007" w:hanging="360"/>
      </w:pPr>
      <w:rPr>
        <w:rFonts w:ascii="Courier New" w:hAnsi="Courier New" w:cs="Courier New" w:hint="default"/>
      </w:rPr>
    </w:lvl>
    <w:lvl w:ilvl="2" w:tplc="61F2EEE0" w:tentative="1">
      <w:start w:val="1"/>
      <w:numFmt w:val="bullet"/>
      <w:lvlText w:val=""/>
      <w:lvlJc w:val="left"/>
      <w:pPr>
        <w:ind w:left="2727" w:hanging="360"/>
      </w:pPr>
      <w:rPr>
        <w:rFonts w:ascii="Wingdings" w:hAnsi="Wingdings" w:hint="default"/>
      </w:rPr>
    </w:lvl>
    <w:lvl w:ilvl="3" w:tplc="907AFEAE" w:tentative="1">
      <w:start w:val="1"/>
      <w:numFmt w:val="bullet"/>
      <w:lvlText w:val=""/>
      <w:lvlJc w:val="left"/>
      <w:pPr>
        <w:ind w:left="3447" w:hanging="360"/>
      </w:pPr>
      <w:rPr>
        <w:rFonts w:ascii="Symbol" w:hAnsi="Symbol" w:hint="default"/>
      </w:rPr>
    </w:lvl>
    <w:lvl w:ilvl="4" w:tplc="2338696C" w:tentative="1">
      <w:start w:val="1"/>
      <w:numFmt w:val="bullet"/>
      <w:lvlText w:val="o"/>
      <w:lvlJc w:val="left"/>
      <w:pPr>
        <w:ind w:left="4167" w:hanging="360"/>
      </w:pPr>
      <w:rPr>
        <w:rFonts w:ascii="Courier New" w:hAnsi="Courier New" w:cs="Courier New" w:hint="default"/>
      </w:rPr>
    </w:lvl>
    <w:lvl w:ilvl="5" w:tplc="BCA2347C" w:tentative="1">
      <w:start w:val="1"/>
      <w:numFmt w:val="bullet"/>
      <w:lvlText w:val=""/>
      <w:lvlJc w:val="left"/>
      <w:pPr>
        <w:ind w:left="4887" w:hanging="360"/>
      </w:pPr>
      <w:rPr>
        <w:rFonts w:ascii="Wingdings" w:hAnsi="Wingdings" w:hint="default"/>
      </w:rPr>
    </w:lvl>
    <w:lvl w:ilvl="6" w:tplc="F132A344" w:tentative="1">
      <w:start w:val="1"/>
      <w:numFmt w:val="bullet"/>
      <w:lvlText w:val=""/>
      <w:lvlJc w:val="left"/>
      <w:pPr>
        <w:ind w:left="5607" w:hanging="360"/>
      </w:pPr>
      <w:rPr>
        <w:rFonts w:ascii="Symbol" w:hAnsi="Symbol" w:hint="default"/>
      </w:rPr>
    </w:lvl>
    <w:lvl w:ilvl="7" w:tplc="FB4E6BB4" w:tentative="1">
      <w:start w:val="1"/>
      <w:numFmt w:val="bullet"/>
      <w:lvlText w:val="o"/>
      <w:lvlJc w:val="left"/>
      <w:pPr>
        <w:ind w:left="6327" w:hanging="360"/>
      </w:pPr>
      <w:rPr>
        <w:rFonts w:ascii="Courier New" w:hAnsi="Courier New" w:cs="Courier New" w:hint="default"/>
      </w:rPr>
    </w:lvl>
    <w:lvl w:ilvl="8" w:tplc="5828842A" w:tentative="1">
      <w:start w:val="1"/>
      <w:numFmt w:val="bullet"/>
      <w:lvlText w:val=""/>
      <w:lvlJc w:val="left"/>
      <w:pPr>
        <w:ind w:left="7047" w:hanging="360"/>
      </w:pPr>
      <w:rPr>
        <w:rFonts w:ascii="Wingdings" w:hAnsi="Wingdings" w:hint="default"/>
      </w:rPr>
    </w:lvl>
  </w:abstractNum>
  <w:abstractNum w:abstractNumId="14" w15:restartNumberingAfterBreak="0">
    <w:nsid w:val="4E584579"/>
    <w:multiLevelType w:val="hybridMultilevel"/>
    <w:tmpl w:val="EBB063FC"/>
    <w:lvl w:ilvl="0" w:tplc="F87C396E">
      <w:start w:val="25"/>
      <w:numFmt w:val="decimal"/>
      <w:lvlText w:val="%1."/>
      <w:lvlJc w:val="left"/>
      <w:pPr>
        <w:ind w:left="765" w:hanging="405"/>
      </w:pPr>
      <w:rPr>
        <w:rFonts w:hint="default"/>
      </w:rPr>
    </w:lvl>
    <w:lvl w:ilvl="1" w:tplc="B55E86D0" w:tentative="1">
      <w:start w:val="1"/>
      <w:numFmt w:val="lowerLetter"/>
      <w:lvlText w:val="%2."/>
      <w:lvlJc w:val="left"/>
      <w:pPr>
        <w:ind w:left="1440" w:hanging="360"/>
      </w:pPr>
    </w:lvl>
    <w:lvl w:ilvl="2" w:tplc="477262EA" w:tentative="1">
      <w:start w:val="1"/>
      <w:numFmt w:val="lowerRoman"/>
      <w:lvlText w:val="%3."/>
      <w:lvlJc w:val="right"/>
      <w:pPr>
        <w:ind w:left="2160" w:hanging="180"/>
      </w:pPr>
    </w:lvl>
    <w:lvl w:ilvl="3" w:tplc="0A5CA57C" w:tentative="1">
      <w:start w:val="1"/>
      <w:numFmt w:val="decimal"/>
      <w:lvlText w:val="%4."/>
      <w:lvlJc w:val="left"/>
      <w:pPr>
        <w:ind w:left="2880" w:hanging="360"/>
      </w:pPr>
    </w:lvl>
    <w:lvl w:ilvl="4" w:tplc="1D746B98" w:tentative="1">
      <w:start w:val="1"/>
      <w:numFmt w:val="lowerLetter"/>
      <w:lvlText w:val="%5."/>
      <w:lvlJc w:val="left"/>
      <w:pPr>
        <w:ind w:left="3600" w:hanging="360"/>
      </w:pPr>
    </w:lvl>
    <w:lvl w:ilvl="5" w:tplc="49247F7E" w:tentative="1">
      <w:start w:val="1"/>
      <w:numFmt w:val="lowerRoman"/>
      <w:lvlText w:val="%6."/>
      <w:lvlJc w:val="right"/>
      <w:pPr>
        <w:ind w:left="4320" w:hanging="180"/>
      </w:pPr>
    </w:lvl>
    <w:lvl w:ilvl="6" w:tplc="675EE4D2" w:tentative="1">
      <w:start w:val="1"/>
      <w:numFmt w:val="decimal"/>
      <w:lvlText w:val="%7."/>
      <w:lvlJc w:val="left"/>
      <w:pPr>
        <w:ind w:left="5040" w:hanging="360"/>
      </w:pPr>
    </w:lvl>
    <w:lvl w:ilvl="7" w:tplc="E5AEEF30" w:tentative="1">
      <w:start w:val="1"/>
      <w:numFmt w:val="lowerLetter"/>
      <w:lvlText w:val="%8."/>
      <w:lvlJc w:val="left"/>
      <w:pPr>
        <w:ind w:left="5760" w:hanging="360"/>
      </w:pPr>
    </w:lvl>
    <w:lvl w:ilvl="8" w:tplc="9EFEF648" w:tentative="1">
      <w:start w:val="1"/>
      <w:numFmt w:val="lowerRoman"/>
      <w:lvlText w:val="%9."/>
      <w:lvlJc w:val="right"/>
      <w:pPr>
        <w:ind w:left="6480" w:hanging="180"/>
      </w:pPr>
    </w:lvl>
  </w:abstractNum>
  <w:abstractNum w:abstractNumId="15" w15:restartNumberingAfterBreak="0">
    <w:nsid w:val="55FC78EC"/>
    <w:multiLevelType w:val="hybridMultilevel"/>
    <w:tmpl w:val="10588116"/>
    <w:lvl w:ilvl="0" w:tplc="FAAC625E">
      <w:start w:val="1"/>
      <w:numFmt w:val="bullet"/>
      <w:pStyle w:val="BulletOne"/>
      <w:lvlText w:val=""/>
      <w:lvlJc w:val="left"/>
      <w:pPr>
        <w:tabs>
          <w:tab w:val="num" w:pos="624"/>
        </w:tabs>
        <w:ind w:left="624" w:hanging="340"/>
      </w:pPr>
      <w:rPr>
        <w:rFonts w:ascii="Symbol" w:hAnsi="Symbol" w:hint="default"/>
      </w:rPr>
    </w:lvl>
    <w:lvl w:ilvl="1" w:tplc="09846128" w:tentative="1">
      <w:start w:val="1"/>
      <w:numFmt w:val="bullet"/>
      <w:lvlText w:val="o"/>
      <w:lvlJc w:val="left"/>
      <w:pPr>
        <w:tabs>
          <w:tab w:val="num" w:pos="1724"/>
        </w:tabs>
        <w:ind w:left="1724" w:hanging="360"/>
      </w:pPr>
      <w:rPr>
        <w:rFonts w:ascii="Courier New" w:hAnsi="Courier New" w:cs="Courier New" w:hint="default"/>
      </w:rPr>
    </w:lvl>
    <w:lvl w:ilvl="2" w:tplc="AE72FD02" w:tentative="1">
      <w:start w:val="1"/>
      <w:numFmt w:val="bullet"/>
      <w:lvlText w:val=""/>
      <w:lvlJc w:val="left"/>
      <w:pPr>
        <w:tabs>
          <w:tab w:val="num" w:pos="2444"/>
        </w:tabs>
        <w:ind w:left="2444" w:hanging="360"/>
      </w:pPr>
      <w:rPr>
        <w:rFonts w:ascii="Wingdings" w:hAnsi="Wingdings" w:hint="default"/>
      </w:rPr>
    </w:lvl>
    <w:lvl w:ilvl="3" w:tplc="DA14E9C2" w:tentative="1">
      <w:start w:val="1"/>
      <w:numFmt w:val="bullet"/>
      <w:lvlText w:val=""/>
      <w:lvlJc w:val="left"/>
      <w:pPr>
        <w:tabs>
          <w:tab w:val="num" w:pos="3164"/>
        </w:tabs>
        <w:ind w:left="3164" w:hanging="360"/>
      </w:pPr>
      <w:rPr>
        <w:rFonts w:ascii="Symbol" w:hAnsi="Symbol" w:hint="default"/>
      </w:rPr>
    </w:lvl>
    <w:lvl w:ilvl="4" w:tplc="353A7F96" w:tentative="1">
      <w:start w:val="1"/>
      <w:numFmt w:val="bullet"/>
      <w:lvlText w:val="o"/>
      <w:lvlJc w:val="left"/>
      <w:pPr>
        <w:tabs>
          <w:tab w:val="num" w:pos="3884"/>
        </w:tabs>
        <w:ind w:left="3884" w:hanging="360"/>
      </w:pPr>
      <w:rPr>
        <w:rFonts w:ascii="Courier New" w:hAnsi="Courier New" w:cs="Courier New" w:hint="default"/>
      </w:rPr>
    </w:lvl>
    <w:lvl w:ilvl="5" w:tplc="23A84C02" w:tentative="1">
      <w:start w:val="1"/>
      <w:numFmt w:val="bullet"/>
      <w:lvlText w:val=""/>
      <w:lvlJc w:val="left"/>
      <w:pPr>
        <w:tabs>
          <w:tab w:val="num" w:pos="4604"/>
        </w:tabs>
        <w:ind w:left="4604" w:hanging="360"/>
      </w:pPr>
      <w:rPr>
        <w:rFonts w:ascii="Wingdings" w:hAnsi="Wingdings" w:hint="default"/>
      </w:rPr>
    </w:lvl>
    <w:lvl w:ilvl="6" w:tplc="746E0A78" w:tentative="1">
      <w:start w:val="1"/>
      <w:numFmt w:val="bullet"/>
      <w:lvlText w:val=""/>
      <w:lvlJc w:val="left"/>
      <w:pPr>
        <w:tabs>
          <w:tab w:val="num" w:pos="5324"/>
        </w:tabs>
        <w:ind w:left="5324" w:hanging="360"/>
      </w:pPr>
      <w:rPr>
        <w:rFonts w:ascii="Symbol" w:hAnsi="Symbol" w:hint="default"/>
      </w:rPr>
    </w:lvl>
    <w:lvl w:ilvl="7" w:tplc="D9B20494" w:tentative="1">
      <w:start w:val="1"/>
      <w:numFmt w:val="bullet"/>
      <w:lvlText w:val="o"/>
      <w:lvlJc w:val="left"/>
      <w:pPr>
        <w:tabs>
          <w:tab w:val="num" w:pos="6044"/>
        </w:tabs>
        <w:ind w:left="6044" w:hanging="360"/>
      </w:pPr>
      <w:rPr>
        <w:rFonts w:ascii="Courier New" w:hAnsi="Courier New" w:cs="Courier New" w:hint="default"/>
      </w:rPr>
    </w:lvl>
    <w:lvl w:ilvl="8" w:tplc="FA0ADCC4"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56332D6D"/>
    <w:multiLevelType w:val="multilevel"/>
    <w:tmpl w:val="9B7A46C8"/>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17" w15:restartNumberingAfterBreak="0">
    <w:nsid w:val="574B271D"/>
    <w:multiLevelType w:val="hybridMultilevel"/>
    <w:tmpl w:val="8C0E8BE0"/>
    <w:lvl w:ilvl="0" w:tplc="C8BA100C">
      <w:start w:val="1"/>
      <w:numFmt w:val="bullet"/>
      <w:lvlText w:val=""/>
      <w:lvlJc w:val="left"/>
      <w:pPr>
        <w:ind w:left="1287" w:hanging="360"/>
      </w:pPr>
      <w:rPr>
        <w:rFonts w:ascii="Symbol" w:hAnsi="Symbol" w:hint="default"/>
      </w:rPr>
    </w:lvl>
    <w:lvl w:ilvl="1" w:tplc="0100C698" w:tentative="1">
      <w:start w:val="1"/>
      <w:numFmt w:val="bullet"/>
      <w:lvlText w:val="o"/>
      <w:lvlJc w:val="left"/>
      <w:pPr>
        <w:ind w:left="2007" w:hanging="360"/>
      </w:pPr>
      <w:rPr>
        <w:rFonts w:ascii="Courier New" w:hAnsi="Courier New" w:cs="Courier New" w:hint="default"/>
      </w:rPr>
    </w:lvl>
    <w:lvl w:ilvl="2" w:tplc="50FEA632" w:tentative="1">
      <w:start w:val="1"/>
      <w:numFmt w:val="bullet"/>
      <w:lvlText w:val=""/>
      <w:lvlJc w:val="left"/>
      <w:pPr>
        <w:ind w:left="2727" w:hanging="360"/>
      </w:pPr>
      <w:rPr>
        <w:rFonts w:ascii="Wingdings" w:hAnsi="Wingdings" w:hint="default"/>
      </w:rPr>
    </w:lvl>
    <w:lvl w:ilvl="3" w:tplc="59429840" w:tentative="1">
      <w:start w:val="1"/>
      <w:numFmt w:val="bullet"/>
      <w:lvlText w:val=""/>
      <w:lvlJc w:val="left"/>
      <w:pPr>
        <w:ind w:left="3447" w:hanging="360"/>
      </w:pPr>
      <w:rPr>
        <w:rFonts w:ascii="Symbol" w:hAnsi="Symbol" w:hint="default"/>
      </w:rPr>
    </w:lvl>
    <w:lvl w:ilvl="4" w:tplc="639E0A36" w:tentative="1">
      <w:start w:val="1"/>
      <w:numFmt w:val="bullet"/>
      <w:lvlText w:val="o"/>
      <w:lvlJc w:val="left"/>
      <w:pPr>
        <w:ind w:left="4167" w:hanging="360"/>
      </w:pPr>
      <w:rPr>
        <w:rFonts w:ascii="Courier New" w:hAnsi="Courier New" w:cs="Courier New" w:hint="default"/>
      </w:rPr>
    </w:lvl>
    <w:lvl w:ilvl="5" w:tplc="3712F53A" w:tentative="1">
      <w:start w:val="1"/>
      <w:numFmt w:val="bullet"/>
      <w:lvlText w:val=""/>
      <w:lvlJc w:val="left"/>
      <w:pPr>
        <w:ind w:left="4887" w:hanging="360"/>
      </w:pPr>
      <w:rPr>
        <w:rFonts w:ascii="Wingdings" w:hAnsi="Wingdings" w:hint="default"/>
      </w:rPr>
    </w:lvl>
    <w:lvl w:ilvl="6" w:tplc="6ABC37A8" w:tentative="1">
      <w:start w:val="1"/>
      <w:numFmt w:val="bullet"/>
      <w:lvlText w:val=""/>
      <w:lvlJc w:val="left"/>
      <w:pPr>
        <w:ind w:left="5607" w:hanging="360"/>
      </w:pPr>
      <w:rPr>
        <w:rFonts w:ascii="Symbol" w:hAnsi="Symbol" w:hint="default"/>
      </w:rPr>
    </w:lvl>
    <w:lvl w:ilvl="7" w:tplc="907EA514" w:tentative="1">
      <w:start w:val="1"/>
      <w:numFmt w:val="bullet"/>
      <w:lvlText w:val="o"/>
      <w:lvlJc w:val="left"/>
      <w:pPr>
        <w:ind w:left="6327" w:hanging="360"/>
      </w:pPr>
      <w:rPr>
        <w:rFonts w:ascii="Courier New" w:hAnsi="Courier New" w:cs="Courier New" w:hint="default"/>
      </w:rPr>
    </w:lvl>
    <w:lvl w:ilvl="8" w:tplc="8D90442A" w:tentative="1">
      <w:start w:val="1"/>
      <w:numFmt w:val="bullet"/>
      <w:lvlText w:val=""/>
      <w:lvlJc w:val="left"/>
      <w:pPr>
        <w:ind w:left="7047" w:hanging="360"/>
      </w:pPr>
      <w:rPr>
        <w:rFonts w:ascii="Wingdings" w:hAnsi="Wingdings" w:hint="default"/>
      </w:rPr>
    </w:lvl>
  </w:abstractNum>
  <w:abstractNum w:abstractNumId="18" w15:restartNumberingAfterBreak="0">
    <w:nsid w:val="5B0B786F"/>
    <w:multiLevelType w:val="hybridMultilevel"/>
    <w:tmpl w:val="F830DA14"/>
    <w:lvl w:ilvl="0" w:tplc="CF268BF0">
      <w:start w:val="1"/>
      <w:numFmt w:val="bullet"/>
      <w:lvlText w:val=""/>
      <w:lvlJc w:val="left"/>
      <w:pPr>
        <w:ind w:left="720" w:hanging="360"/>
      </w:pPr>
      <w:rPr>
        <w:rFonts w:ascii="Symbol" w:hAnsi="Symbol" w:hint="default"/>
      </w:rPr>
    </w:lvl>
    <w:lvl w:ilvl="1" w:tplc="FEA0DAC0" w:tentative="1">
      <w:start w:val="1"/>
      <w:numFmt w:val="bullet"/>
      <w:lvlText w:val="o"/>
      <w:lvlJc w:val="left"/>
      <w:pPr>
        <w:ind w:left="1440" w:hanging="360"/>
      </w:pPr>
      <w:rPr>
        <w:rFonts w:ascii="Courier New" w:hAnsi="Courier New" w:cs="Courier New" w:hint="default"/>
      </w:rPr>
    </w:lvl>
    <w:lvl w:ilvl="2" w:tplc="77A43084" w:tentative="1">
      <w:start w:val="1"/>
      <w:numFmt w:val="bullet"/>
      <w:lvlText w:val=""/>
      <w:lvlJc w:val="left"/>
      <w:pPr>
        <w:ind w:left="2160" w:hanging="360"/>
      </w:pPr>
      <w:rPr>
        <w:rFonts w:ascii="Wingdings" w:hAnsi="Wingdings" w:hint="default"/>
      </w:rPr>
    </w:lvl>
    <w:lvl w:ilvl="3" w:tplc="C28869F0" w:tentative="1">
      <w:start w:val="1"/>
      <w:numFmt w:val="bullet"/>
      <w:lvlText w:val=""/>
      <w:lvlJc w:val="left"/>
      <w:pPr>
        <w:ind w:left="2880" w:hanging="360"/>
      </w:pPr>
      <w:rPr>
        <w:rFonts w:ascii="Symbol" w:hAnsi="Symbol" w:hint="default"/>
      </w:rPr>
    </w:lvl>
    <w:lvl w:ilvl="4" w:tplc="A3B265C2" w:tentative="1">
      <w:start w:val="1"/>
      <w:numFmt w:val="bullet"/>
      <w:lvlText w:val="o"/>
      <w:lvlJc w:val="left"/>
      <w:pPr>
        <w:ind w:left="3600" w:hanging="360"/>
      </w:pPr>
      <w:rPr>
        <w:rFonts w:ascii="Courier New" w:hAnsi="Courier New" w:cs="Courier New" w:hint="default"/>
      </w:rPr>
    </w:lvl>
    <w:lvl w:ilvl="5" w:tplc="18D04BD0" w:tentative="1">
      <w:start w:val="1"/>
      <w:numFmt w:val="bullet"/>
      <w:lvlText w:val=""/>
      <w:lvlJc w:val="left"/>
      <w:pPr>
        <w:ind w:left="4320" w:hanging="360"/>
      </w:pPr>
      <w:rPr>
        <w:rFonts w:ascii="Wingdings" w:hAnsi="Wingdings" w:hint="default"/>
      </w:rPr>
    </w:lvl>
    <w:lvl w:ilvl="6" w:tplc="F38AB7F8" w:tentative="1">
      <w:start w:val="1"/>
      <w:numFmt w:val="bullet"/>
      <w:lvlText w:val=""/>
      <w:lvlJc w:val="left"/>
      <w:pPr>
        <w:ind w:left="5040" w:hanging="360"/>
      </w:pPr>
      <w:rPr>
        <w:rFonts w:ascii="Symbol" w:hAnsi="Symbol" w:hint="default"/>
      </w:rPr>
    </w:lvl>
    <w:lvl w:ilvl="7" w:tplc="251E68C8" w:tentative="1">
      <w:start w:val="1"/>
      <w:numFmt w:val="bullet"/>
      <w:lvlText w:val="o"/>
      <w:lvlJc w:val="left"/>
      <w:pPr>
        <w:ind w:left="5760" w:hanging="360"/>
      </w:pPr>
      <w:rPr>
        <w:rFonts w:ascii="Courier New" w:hAnsi="Courier New" w:cs="Courier New" w:hint="default"/>
      </w:rPr>
    </w:lvl>
    <w:lvl w:ilvl="8" w:tplc="561A95C4" w:tentative="1">
      <w:start w:val="1"/>
      <w:numFmt w:val="bullet"/>
      <w:lvlText w:val=""/>
      <w:lvlJc w:val="left"/>
      <w:pPr>
        <w:ind w:left="6480" w:hanging="360"/>
      </w:pPr>
      <w:rPr>
        <w:rFonts w:ascii="Wingdings" w:hAnsi="Wingdings" w:hint="default"/>
      </w:rPr>
    </w:lvl>
  </w:abstractNum>
  <w:abstractNum w:abstractNumId="19" w15:restartNumberingAfterBreak="0">
    <w:nsid w:val="6F611FA4"/>
    <w:multiLevelType w:val="multilevel"/>
    <w:tmpl w:val="68A8772E"/>
    <w:lvl w:ilvl="0">
      <w:start w:val="5"/>
      <w:numFmt w:val="decimal"/>
      <w:lvlText w:val="%1."/>
      <w:lvlJc w:val="left"/>
      <w:pPr>
        <w:tabs>
          <w:tab w:val="num" w:pos="720"/>
        </w:tabs>
        <w:ind w:left="720" w:hanging="720"/>
      </w:pPr>
      <w:rPr>
        <w:rFonts w:hint="default"/>
        <w:b/>
        <w:sz w:val="32"/>
        <w:szCs w:val="28"/>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6FF84F60"/>
    <w:multiLevelType w:val="multilevel"/>
    <w:tmpl w:val="AC5818EA"/>
    <w:lvl w:ilvl="0">
      <w:start w:val="3"/>
      <w:numFmt w:val="decimal"/>
      <w:lvlText w:val="%1"/>
      <w:lvlJc w:val="left"/>
      <w:pPr>
        <w:ind w:left="720" w:hanging="720"/>
      </w:pPr>
      <w:rPr>
        <w:rFonts w:hint="default"/>
        <w:b/>
      </w:rPr>
    </w:lvl>
    <w:lvl w:ilvl="1">
      <w:start w:val="1"/>
      <w:numFmt w:val="decimal"/>
      <w:lvlText w:val="%1.%2"/>
      <w:lvlJc w:val="left"/>
      <w:pPr>
        <w:ind w:left="955" w:hanging="720"/>
      </w:pPr>
      <w:rPr>
        <w:rFonts w:hint="default"/>
        <w:b/>
      </w:rPr>
    </w:lvl>
    <w:lvl w:ilvl="2">
      <w:start w:val="3"/>
      <w:numFmt w:val="decimal"/>
      <w:lvlText w:val="%1.%2.%3"/>
      <w:lvlJc w:val="left"/>
      <w:pPr>
        <w:ind w:left="1190" w:hanging="720"/>
      </w:pPr>
      <w:rPr>
        <w:rFonts w:hint="default"/>
        <w:b/>
      </w:rPr>
    </w:lvl>
    <w:lvl w:ilvl="3">
      <w:start w:val="2"/>
      <w:numFmt w:val="decimal"/>
      <w:lvlText w:val="%1.%2.%3.%4"/>
      <w:lvlJc w:val="left"/>
      <w:pPr>
        <w:ind w:left="1785" w:hanging="1080"/>
      </w:pPr>
      <w:rPr>
        <w:rFonts w:hint="default"/>
        <w:b/>
      </w:rPr>
    </w:lvl>
    <w:lvl w:ilvl="4">
      <w:start w:val="1"/>
      <w:numFmt w:val="decimal"/>
      <w:lvlText w:val="%1.%2.%3.%4.%5"/>
      <w:lvlJc w:val="left"/>
      <w:pPr>
        <w:ind w:left="2020" w:hanging="1080"/>
      </w:pPr>
      <w:rPr>
        <w:rFonts w:hint="default"/>
        <w:b/>
      </w:rPr>
    </w:lvl>
    <w:lvl w:ilvl="5">
      <w:start w:val="1"/>
      <w:numFmt w:val="decimal"/>
      <w:lvlText w:val="%1.%2.%3.%4.%5.%6"/>
      <w:lvlJc w:val="left"/>
      <w:pPr>
        <w:ind w:left="2615" w:hanging="1440"/>
      </w:pPr>
      <w:rPr>
        <w:rFonts w:hint="default"/>
        <w:b/>
      </w:rPr>
    </w:lvl>
    <w:lvl w:ilvl="6">
      <w:start w:val="1"/>
      <w:numFmt w:val="decimal"/>
      <w:lvlText w:val="%1.%2.%3.%4.%5.%6.%7"/>
      <w:lvlJc w:val="left"/>
      <w:pPr>
        <w:ind w:left="2850" w:hanging="1440"/>
      </w:pPr>
      <w:rPr>
        <w:rFonts w:hint="default"/>
        <w:b/>
      </w:rPr>
    </w:lvl>
    <w:lvl w:ilvl="7">
      <w:start w:val="1"/>
      <w:numFmt w:val="decimal"/>
      <w:lvlText w:val="%1.%2.%3.%4.%5.%6.%7.%8"/>
      <w:lvlJc w:val="left"/>
      <w:pPr>
        <w:ind w:left="3445" w:hanging="1800"/>
      </w:pPr>
      <w:rPr>
        <w:rFonts w:hint="default"/>
        <w:b/>
      </w:rPr>
    </w:lvl>
    <w:lvl w:ilvl="8">
      <w:start w:val="1"/>
      <w:numFmt w:val="decimal"/>
      <w:lvlText w:val="%1.%2.%3.%4.%5.%6.%7.%8.%9"/>
      <w:lvlJc w:val="left"/>
      <w:pPr>
        <w:ind w:left="3680" w:hanging="1800"/>
      </w:pPr>
      <w:rPr>
        <w:rFonts w:hint="default"/>
        <w:b/>
      </w:rPr>
    </w:lvl>
  </w:abstractNum>
  <w:abstractNum w:abstractNumId="21" w15:restartNumberingAfterBreak="0">
    <w:nsid w:val="71047354"/>
    <w:multiLevelType w:val="multilevel"/>
    <w:tmpl w:val="CF0C7392"/>
    <w:lvl w:ilvl="0">
      <w:start w:val="17"/>
      <w:numFmt w:val="decimal"/>
      <w:lvlText w:val="%1."/>
      <w:lvlJc w:val="left"/>
      <w:pPr>
        <w:tabs>
          <w:tab w:val="num" w:pos="1571"/>
        </w:tabs>
        <w:ind w:left="1571" w:hanging="720"/>
      </w:pPr>
      <w:rPr>
        <w:rFonts w:hint="default"/>
        <w:b/>
      </w:rPr>
    </w:lvl>
    <w:lvl w:ilvl="1">
      <w:start w:val="1"/>
      <w:numFmt w:val="lowerLetter"/>
      <w:lvlText w:val="%2."/>
      <w:lvlJc w:val="left"/>
      <w:pPr>
        <w:tabs>
          <w:tab w:val="num" w:pos="1648"/>
        </w:tabs>
        <w:ind w:left="1648" w:hanging="360"/>
      </w:pPr>
      <w:rPr>
        <w:rFonts w:hint="default"/>
      </w:rPr>
    </w:lvl>
    <w:lvl w:ilvl="2">
      <w:start w:val="8"/>
      <w:numFmt w:val="upperLetter"/>
      <w:lvlText w:val="%3."/>
      <w:lvlJc w:val="left"/>
      <w:pPr>
        <w:ind w:left="2548" w:hanging="360"/>
      </w:pPr>
      <w:rPr>
        <w:rFonts w:hint="default"/>
      </w:rPr>
    </w:lvl>
    <w:lvl w:ilvl="3">
      <w:start w:val="1"/>
      <w:numFmt w:val="decimal"/>
      <w:lvlText w:val="(%4)"/>
      <w:lvlJc w:val="left"/>
      <w:pPr>
        <w:ind w:left="3088" w:hanging="360"/>
      </w:pPr>
      <w:rPr>
        <w:rFonts w:hint="default"/>
      </w:rPr>
    </w:lvl>
    <w:lvl w:ilvl="4">
      <w:start w:val="1"/>
      <w:numFmt w:val="lowerLetter"/>
      <w:lvlText w:val="%5."/>
      <w:lvlJc w:val="left"/>
      <w:pPr>
        <w:tabs>
          <w:tab w:val="num" w:pos="3808"/>
        </w:tabs>
        <w:ind w:left="3808" w:hanging="360"/>
      </w:pPr>
      <w:rPr>
        <w:rFonts w:hint="default"/>
      </w:rPr>
    </w:lvl>
    <w:lvl w:ilvl="5">
      <w:start w:val="1"/>
      <w:numFmt w:val="lowerRoman"/>
      <w:lvlText w:val="%6."/>
      <w:lvlJc w:val="right"/>
      <w:pPr>
        <w:tabs>
          <w:tab w:val="num" w:pos="4528"/>
        </w:tabs>
        <w:ind w:left="4528" w:hanging="18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968"/>
        </w:tabs>
        <w:ind w:left="5968" w:hanging="360"/>
      </w:pPr>
      <w:rPr>
        <w:rFonts w:hint="default"/>
      </w:rPr>
    </w:lvl>
    <w:lvl w:ilvl="8">
      <w:start w:val="1"/>
      <w:numFmt w:val="lowerRoman"/>
      <w:lvlText w:val="%9."/>
      <w:lvlJc w:val="right"/>
      <w:pPr>
        <w:tabs>
          <w:tab w:val="num" w:pos="6688"/>
        </w:tabs>
        <w:ind w:left="6688" w:hanging="180"/>
      </w:pPr>
      <w:rPr>
        <w:rFonts w:hint="default"/>
      </w:rPr>
    </w:lvl>
  </w:abstractNum>
  <w:abstractNum w:abstractNumId="22" w15:restartNumberingAfterBreak="0">
    <w:nsid w:val="712C6B77"/>
    <w:multiLevelType w:val="hybridMultilevel"/>
    <w:tmpl w:val="808278F0"/>
    <w:lvl w:ilvl="0" w:tplc="19F8BB14">
      <w:start w:val="1"/>
      <w:numFmt w:val="decimal"/>
      <w:pStyle w:val="Heading3-numbered"/>
      <w:lvlText w:val="%1."/>
      <w:lvlJc w:val="left"/>
      <w:pPr>
        <w:ind w:left="360" w:hanging="360"/>
      </w:pPr>
      <w:rPr>
        <w:b/>
        <w:i w:val="0"/>
        <w:color w:val="auto"/>
        <w:sz w:val="28"/>
        <w:szCs w:val="28"/>
      </w:rPr>
    </w:lvl>
    <w:lvl w:ilvl="1" w:tplc="85EC4F7C" w:tentative="1">
      <w:start w:val="1"/>
      <w:numFmt w:val="lowerLetter"/>
      <w:lvlText w:val="%2."/>
      <w:lvlJc w:val="left"/>
      <w:pPr>
        <w:ind w:left="1080" w:hanging="360"/>
      </w:pPr>
    </w:lvl>
    <w:lvl w:ilvl="2" w:tplc="97DC66CC" w:tentative="1">
      <w:start w:val="1"/>
      <w:numFmt w:val="lowerRoman"/>
      <w:lvlText w:val="%3."/>
      <w:lvlJc w:val="right"/>
      <w:pPr>
        <w:ind w:left="1800" w:hanging="180"/>
      </w:pPr>
    </w:lvl>
    <w:lvl w:ilvl="3" w:tplc="065EBFE2" w:tentative="1">
      <w:start w:val="1"/>
      <w:numFmt w:val="decimal"/>
      <w:lvlText w:val="%4."/>
      <w:lvlJc w:val="left"/>
      <w:pPr>
        <w:ind w:left="2520" w:hanging="360"/>
      </w:pPr>
    </w:lvl>
    <w:lvl w:ilvl="4" w:tplc="CE5E7714" w:tentative="1">
      <w:start w:val="1"/>
      <w:numFmt w:val="lowerLetter"/>
      <w:lvlText w:val="%5."/>
      <w:lvlJc w:val="left"/>
      <w:pPr>
        <w:ind w:left="3240" w:hanging="360"/>
      </w:pPr>
    </w:lvl>
    <w:lvl w:ilvl="5" w:tplc="A91C21FC" w:tentative="1">
      <w:start w:val="1"/>
      <w:numFmt w:val="lowerRoman"/>
      <w:lvlText w:val="%6."/>
      <w:lvlJc w:val="right"/>
      <w:pPr>
        <w:ind w:left="3960" w:hanging="180"/>
      </w:pPr>
    </w:lvl>
    <w:lvl w:ilvl="6" w:tplc="2116D0DC" w:tentative="1">
      <w:start w:val="1"/>
      <w:numFmt w:val="decimal"/>
      <w:lvlText w:val="%7."/>
      <w:lvlJc w:val="left"/>
      <w:pPr>
        <w:ind w:left="4680" w:hanging="360"/>
      </w:pPr>
    </w:lvl>
    <w:lvl w:ilvl="7" w:tplc="3DE6043E" w:tentative="1">
      <w:start w:val="1"/>
      <w:numFmt w:val="lowerLetter"/>
      <w:lvlText w:val="%8."/>
      <w:lvlJc w:val="left"/>
      <w:pPr>
        <w:ind w:left="5400" w:hanging="360"/>
      </w:pPr>
    </w:lvl>
    <w:lvl w:ilvl="8" w:tplc="2DDA8860" w:tentative="1">
      <w:start w:val="1"/>
      <w:numFmt w:val="lowerRoman"/>
      <w:lvlText w:val="%9."/>
      <w:lvlJc w:val="right"/>
      <w:pPr>
        <w:ind w:left="6120" w:hanging="180"/>
      </w:pPr>
    </w:lvl>
  </w:abstractNum>
  <w:abstractNum w:abstractNumId="23" w15:restartNumberingAfterBreak="0">
    <w:nsid w:val="73C81E5B"/>
    <w:multiLevelType w:val="multilevel"/>
    <w:tmpl w:val="4D2CF3E6"/>
    <w:lvl w:ilvl="0">
      <w:start w:val="11"/>
      <w:numFmt w:val="decimal"/>
      <w:lvlText w:val="%1."/>
      <w:lvlJc w:val="left"/>
      <w:pPr>
        <w:tabs>
          <w:tab w:val="num" w:pos="862"/>
        </w:tabs>
        <w:ind w:left="862" w:hanging="720"/>
      </w:pPr>
      <w:rPr>
        <w:rFonts w:hint="default"/>
        <w:b/>
        <w:sz w:val="32"/>
        <w:szCs w:val="32"/>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75243DC0"/>
    <w:multiLevelType w:val="hybridMultilevel"/>
    <w:tmpl w:val="5B6E1956"/>
    <w:lvl w:ilvl="0" w:tplc="86B44A82">
      <w:start w:val="1"/>
      <w:numFmt w:val="bullet"/>
      <w:lvlText w:val=""/>
      <w:lvlJc w:val="left"/>
      <w:pPr>
        <w:ind w:left="720" w:hanging="360"/>
      </w:pPr>
      <w:rPr>
        <w:rFonts w:ascii="Symbol" w:hAnsi="Symbol" w:hint="default"/>
      </w:rPr>
    </w:lvl>
    <w:lvl w:ilvl="1" w:tplc="ADF0777C" w:tentative="1">
      <w:start w:val="1"/>
      <w:numFmt w:val="bullet"/>
      <w:lvlText w:val="o"/>
      <w:lvlJc w:val="left"/>
      <w:pPr>
        <w:ind w:left="1440" w:hanging="360"/>
      </w:pPr>
      <w:rPr>
        <w:rFonts w:ascii="Courier New" w:hAnsi="Courier New" w:cs="Courier New" w:hint="default"/>
      </w:rPr>
    </w:lvl>
    <w:lvl w:ilvl="2" w:tplc="4F223CE6" w:tentative="1">
      <w:start w:val="1"/>
      <w:numFmt w:val="bullet"/>
      <w:lvlText w:val=""/>
      <w:lvlJc w:val="left"/>
      <w:pPr>
        <w:ind w:left="2160" w:hanging="360"/>
      </w:pPr>
      <w:rPr>
        <w:rFonts w:ascii="Wingdings" w:hAnsi="Wingdings" w:hint="default"/>
      </w:rPr>
    </w:lvl>
    <w:lvl w:ilvl="3" w:tplc="98849B56" w:tentative="1">
      <w:start w:val="1"/>
      <w:numFmt w:val="bullet"/>
      <w:lvlText w:val=""/>
      <w:lvlJc w:val="left"/>
      <w:pPr>
        <w:ind w:left="2880" w:hanging="360"/>
      </w:pPr>
      <w:rPr>
        <w:rFonts w:ascii="Symbol" w:hAnsi="Symbol" w:hint="default"/>
      </w:rPr>
    </w:lvl>
    <w:lvl w:ilvl="4" w:tplc="A406E748" w:tentative="1">
      <w:start w:val="1"/>
      <w:numFmt w:val="bullet"/>
      <w:lvlText w:val="o"/>
      <w:lvlJc w:val="left"/>
      <w:pPr>
        <w:ind w:left="3600" w:hanging="360"/>
      </w:pPr>
      <w:rPr>
        <w:rFonts w:ascii="Courier New" w:hAnsi="Courier New" w:cs="Courier New" w:hint="default"/>
      </w:rPr>
    </w:lvl>
    <w:lvl w:ilvl="5" w:tplc="54887A72" w:tentative="1">
      <w:start w:val="1"/>
      <w:numFmt w:val="bullet"/>
      <w:lvlText w:val=""/>
      <w:lvlJc w:val="left"/>
      <w:pPr>
        <w:ind w:left="4320" w:hanging="360"/>
      </w:pPr>
      <w:rPr>
        <w:rFonts w:ascii="Wingdings" w:hAnsi="Wingdings" w:hint="default"/>
      </w:rPr>
    </w:lvl>
    <w:lvl w:ilvl="6" w:tplc="0276C8EC" w:tentative="1">
      <w:start w:val="1"/>
      <w:numFmt w:val="bullet"/>
      <w:lvlText w:val=""/>
      <w:lvlJc w:val="left"/>
      <w:pPr>
        <w:ind w:left="5040" w:hanging="360"/>
      </w:pPr>
      <w:rPr>
        <w:rFonts w:ascii="Symbol" w:hAnsi="Symbol" w:hint="default"/>
      </w:rPr>
    </w:lvl>
    <w:lvl w:ilvl="7" w:tplc="988CC3AA" w:tentative="1">
      <w:start w:val="1"/>
      <w:numFmt w:val="bullet"/>
      <w:lvlText w:val="o"/>
      <w:lvlJc w:val="left"/>
      <w:pPr>
        <w:ind w:left="5760" w:hanging="360"/>
      </w:pPr>
      <w:rPr>
        <w:rFonts w:ascii="Courier New" w:hAnsi="Courier New" w:cs="Courier New" w:hint="default"/>
      </w:rPr>
    </w:lvl>
    <w:lvl w:ilvl="8" w:tplc="DBAE606A" w:tentative="1">
      <w:start w:val="1"/>
      <w:numFmt w:val="bullet"/>
      <w:lvlText w:val=""/>
      <w:lvlJc w:val="left"/>
      <w:pPr>
        <w:ind w:left="6480" w:hanging="360"/>
      </w:pPr>
      <w:rPr>
        <w:rFonts w:ascii="Wingdings" w:hAnsi="Wingdings" w:hint="default"/>
      </w:rPr>
    </w:lvl>
  </w:abstractNum>
  <w:abstractNum w:abstractNumId="25" w15:restartNumberingAfterBreak="0">
    <w:nsid w:val="763D4476"/>
    <w:multiLevelType w:val="multilevel"/>
    <w:tmpl w:val="5E6A9DEC"/>
    <w:lvl w:ilvl="0">
      <w:start w:val="25"/>
      <w:numFmt w:val="decimal"/>
      <w:lvlText w:val="%1."/>
      <w:lvlJc w:val="left"/>
      <w:pPr>
        <w:tabs>
          <w:tab w:val="num" w:pos="720"/>
        </w:tabs>
        <w:ind w:left="720" w:hanging="720"/>
      </w:pPr>
      <w:rPr>
        <w:rFonts w:hint="default"/>
        <w:b/>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7C6A53FB"/>
    <w:multiLevelType w:val="hybridMultilevel"/>
    <w:tmpl w:val="8E607BE2"/>
    <w:lvl w:ilvl="0" w:tplc="32FA2D20">
      <w:start w:val="1"/>
      <w:numFmt w:val="bullet"/>
      <w:lvlText w:val=""/>
      <w:lvlJc w:val="left"/>
      <w:pPr>
        <w:ind w:left="720" w:hanging="360"/>
      </w:pPr>
      <w:rPr>
        <w:rFonts w:ascii="Symbol" w:hAnsi="Symbol" w:hint="default"/>
      </w:rPr>
    </w:lvl>
    <w:lvl w:ilvl="1" w:tplc="A65209BA" w:tentative="1">
      <w:start w:val="1"/>
      <w:numFmt w:val="bullet"/>
      <w:lvlText w:val="o"/>
      <w:lvlJc w:val="left"/>
      <w:pPr>
        <w:ind w:left="1440" w:hanging="360"/>
      </w:pPr>
      <w:rPr>
        <w:rFonts w:ascii="Courier New" w:hAnsi="Courier New" w:cs="Courier New" w:hint="default"/>
      </w:rPr>
    </w:lvl>
    <w:lvl w:ilvl="2" w:tplc="8D628444" w:tentative="1">
      <w:start w:val="1"/>
      <w:numFmt w:val="bullet"/>
      <w:lvlText w:val=""/>
      <w:lvlJc w:val="left"/>
      <w:pPr>
        <w:ind w:left="2160" w:hanging="360"/>
      </w:pPr>
      <w:rPr>
        <w:rFonts w:ascii="Wingdings" w:hAnsi="Wingdings" w:hint="default"/>
      </w:rPr>
    </w:lvl>
    <w:lvl w:ilvl="3" w:tplc="95AED1D0" w:tentative="1">
      <w:start w:val="1"/>
      <w:numFmt w:val="bullet"/>
      <w:lvlText w:val=""/>
      <w:lvlJc w:val="left"/>
      <w:pPr>
        <w:ind w:left="2880" w:hanging="360"/>
      </w:pPr>
      <w:rPr>
        <w:rFonts w:ascii="Symbol" w:hAnsi="Symbol" w:hint="default"/>
      </w:rPr>
    </w:lvl>
    <w:lvl w:ilvl="4" w:tplc="D96C9AA4" w:tentative="1">
      <w:start w:val="1"/>
      <w:numFmt w:val="bullet"/>
      <w:lvlText w:val="o"/>
      <w:lvlJc w:val="left"/>
      <w:pPr>
        <w:ind w:left="3600" w:hanging="360"/>
      </w:pPr>
      <w:rPr>
        <w:rFonts w:ascii="Courier New" w:hAnsi="Courier New" w:cs="Courier New" w:hint="default"/>
      </w:rPr>
    </w:lvl>
    <w:lvl w:ilvl="5" w:tplc="288251EE" w:tentative="1">
      <w:start w:val="1"/>
      <w:numFmt w:val="bullet"/>
      <w:lvlText w:val=""/>
      <w:lvlJc w:val="left"/>
      <w:pPr>
        <w:ind w:left="4320" w:hanging="360"/>
      </w:pPr>
      <w:rPr>
        <w:rFonts w:ascii="Wingdings" w:hAnsi="Wingdings" w:hint="default"/>
      </w:rPr>
    </w:lvl>
    <w:lvl w:ilvl="6" w:tplc="96060968" w:tentative="1">
      <w:start w:val="1"/>
      <w:numFmt w:val="bullet"/>
      <w:lvlText w:val=""/>
      <w:lvlJc w:val="left"/>
      <w:pPr>
        <w:ind w:left="5040" w:hanging="360"/>
      </w:pPr>
      <w:rPr>
        <w:rFonts w:ascii="Symbol" w:hAnsi="Symbol" w:hint="default"/>
      </w:rPr>
    </w:lvl>
    <w:lvl w:ilvl="7" w:tplc="248EDD78" w:tentative="1">
      <w:start w:val="1"/>
      <w:numFmt w:val="bullet"/>
      <w:lvlText w:val="o"/>
      <w:lvlJc w:val="left"/>
      <w:pPr>
        <w:ind w:left="5760" w:hanging="360"/>
      </w:pPr>
      <w:rPr>
        <w:rFonts w:ascii="Courier New" w:hAnsi="Courier New" w:cs="Courier New" w:hint="default"/>
      </w:rPr>
    </w:lvl>
    <w:lvl w:ilvl="8" w:tplc="E266F912" w:tentative="1">
      <w:start w:val="1"/>
      <w:numFmt w:val="bullet"/>
      <w:lvlText w:val=""/>
      <w:lvlJc w:val="left"/>
      <w:pPr>
        <w:ind w:left="6480" w:hanging="360"/>
      </w:pPr>
      <w:rPr>
        <w:rFonts w:ascii="Wingdings" w:hAnsi="Wingdings" w:hint="default"/>
      </w:rPr>
    </w:lvl>
  </w:abstractNum>
  <w:abstractNum w:abstractNumId="27" w15:restartNumberingAfterBreak="0">
    <w:nsid w:val="7CFB7B74"/>
    <w:multiLevelType w:val="singleLevel"/>
    <w:tmpl w:val="08090001"/>
    <w:lvl w:ilvl="0">
      <w:start w:val="1"/>
      <w:numFmt w:val="bullet"/>
      <w:pStyle w:val="Bodytextnumbered"/>
      <w:lvlText w:val=""/>
      <w:lvlJc w:val="left"/>
      <w:pPr>
        <w:tabs>
          <w:tab w:val="num" w:pos="360"/>
        </w:tabs>
        <w:ind w:left="360" w:hanging="360"/>
      </w:pPr>
      <w:rPr>
        <w:rFonts w:ascii="Symbol" w:hAnsi="Symbol" w:hint="default"/>
      </w:rPr>
    </w:lvl>
  </w:abstractNum>
  <w:num w:numId="1">
    <w:abstractNumId w:val="8"/>
  </w:num>
  <w:num w:numId="2">
    <w:abstractNumId w:val="12"/>
  </w:num>
  <w:num w:numId="3">
    <w:abstractNumId w:val="22"/>
  </w:num>
  <w:num w:numId="4">
    <w:abstractNumId w:val="27"/>
  </w:num>
  <w:num w:numId="5">
    <w:abstractNumId w:val="15"/>
  </w:num>
  <w:num w:numId="6">
    <w:abstractNumId w:val="7"/>
  </w:num>
  <w:num w:numId="7">
    <w:abstractNumId w:val="19"/>
  </w:num>
  <w:num w:numId="8">
    <w:abstractNumId w:val="21"/>
  </w:num>
  <w:num w:numId="9">
    <w:abstractNumId w:val="13"/>
  </w:num>
  <w:num w:numId="10">
    <w:abstractNumId w:val="16"/>
  </w:num>
  <w:num w:numId="11">
    <w:abstractNumId w:val="6"/>
  </w:num>
  <w:num w:numId="12">
    <w:abstractNumId w:val="4"/>
  </w:num>
  <w:num w:numId="13">
    <w:abstractNumId w:val="20"/>
  </w:num>
  <w:num w:numId="14">
    <w:abstractNumId w:val="1"/>
  </w:num>
  <w:num w:numId="15">
    <w:abstractNumId w:val="26"/>
  </w:num>
  <w:num w:numId="16">
    <w:abstractNumId w:val="9"/>
  </w:num>
  <w:num w:numId="17">
    <w:abstractNumId w:val="5"/>
  </w:num>
  <w:num w:numId="18">
    <w:abstractNumId w:val="0"/>
  </w:num>
  <w:num w:numId="19">
    <w:abstractNumId w:val="24"/>
  </w:num>
  <w:num w:numId="20">
    <w:abstractNumId w:val="23"/>
  </w:num>
  <w:num w:numId="21">
    <w:abstractNumId w:val="3"/>
  </w:num>
  <w:num w:numId="22">
    <w:abstractNumId w:val="18"/>
  </w:num>
  <w:num w:numId="23">
    <w:abstractNumId w:val="2"/>
  </w:num>
  <w:num w:numId="24">
    <w:abstractNumId w:val="17"/>
  </w:num>
  <w:num w:numId="25">
    <w:abstractNumId w:val="11"/>
  </w:num>
  <w:num w:numId="26">
    <w:abstractNumId w:val="14"/>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D6"/>
    <w:rsid w:val="00B368D6"/>
    <w:rsid w:val="00E5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8F712-0471-4DC7-B4BA-00879591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8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78E9"/>
    <w:pPr>
      <w:keepNext/>
      <w:tabs>
        <w:tab w:val="right" w:pos="9000"/>
        <w:tab w:val="right" w:pos="9990"/>
        <w:tab w:val="left" w:pos="12240"/>
      </w:tabs>
      <w:outlineLvl w:val="0"/>
    </w:pPr>
    <w:rPr>
      <w:rFonts w:ascii="Helv" w:hAnsi="Helv"/>
      <w:b/>
    </w:rPr>
  </w:style>
  <w:style w:type="paragraph" w:styleId="Heading2">
    <w:name w:val="heading 2"/>
    <w:basedOn w:val="Normal"/>
    <w:next w:val="Normal"/>
    <w:link w:val="Heading2Char"/>
    <w:qFormat/>
    <w:rsid w:val="00DC78E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C78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C78E9"/>
    <w:pPr>
      <w:keepNext/>
      <w:spacing w:before="240" w:after="60"/>
      <w:outlineLvl w:val="3"/>
    </w:pPr>
    <w:rPr>
      <w:b/>
      <w:bCs/>
      <w:sz w:val="28"/>
      <w:szCs w:val="28"/>
    </w:rPr>
  </w:style>
  <w:style w:type="paragraph" w:styleId="Heading5">
    <w:name w:val="heading 5"/>
    <w:basedOn w:val="Normal"/>
    <w:next w:val="Normal"/>
    <w:link w:val="Heading5Char"/>
    <w:qFormat/>
    <w:rsid w:val="00DC78E9"/>
    <w:pPr>
      <w:spacing w:before="240" w:after="60"/>
      <w:outlineLvl w:val="4"/>
    </w:pPr>
    <w:rPr>
      <w:b/>
      <w:bCs/>
      <w:i/>
      <w:iCs/>
      <w:sz w:val="26"/>
      <w:szCs w:val="26"/>
    </w:rPr>
  </w:style>
  <w:style w:type="paragraph" w:styleId="Heading6">
    <w:name w:val="heading 6"/>
    <w:basedOn w:val="Normal"/>
    <w:next w:val="Normal"/>
    <w:link w:val="Heading6Char"/>
    <w:qFormat/>
    <w:rsid w:val="00DC78E9"/>
    <w:pPr>
      <w:spacing w:before="240" w:after="60"/>
      <w:outlineLvl w:val="5"/>
    </w:pPr>
    <w:rPr>
      <w:b/>
      <w:bCs/>
      <w:sz w:val="22"/>
      <w:szCs w:val="22"/>
    </w:rPr>
  </w:style>
  <w:style w:type="paragraph" w:styleId="Heading7">
    <w:name w:val="heading 7"/>
    <w:basedOn w:val="Normal"/>
    <w:next w:val="Normal"/>
    <w:link w:val="Heading7Char"/>
    <w:qFormat/>
    <w:rsid w:val="00DC78E9"/>
    <w:pPr>
      <w:spacing w:before="240" w:after="60"/>
      <w:outlineLvl w:val="6"/>
    </w:pPr>
  </w:style>
  <w:style w:type="paragraph" w:styleId="Heading8">
    <w:name w:val="heading 8"/>
    <w:basedOn w:val="Normal"/>
    <w:next w:val="Normal"/>
    <w:link w:val="Heading8Char"/>
    <w:qFormat/>
    <w:rsid w:val="00DC78E9"/>
    <w:pPr>
      <w:spacing w:before="240" w:after="60"/>
      <w:outlineLvl w:val="7"/>
    </w:pPr>
    <w:rPr>
      <w:i/>
      <w:iCs/>
    </w:rPr>
  </w:style>
  <w:style w:type="paragraph" w:styleId="Heading9">
    <w:name w:val="heading 9"/>
    <w:basedOn w:val="Normal"/>
    <w:next w:val="Normal"/>
    <w:link w:val="Heading9Char"/>
    <w:qFormat/>
    <w:rsid w:val="00DC78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8E9"/>
    <w:rPr>
      <w:rFonts w:ascii="Helv" w:eastAsia="Times New Roman" w:hAnsi="Helv" w:cs="Times New Roman"/>
      <w:b/>
      <w:sz w:val="24"/>
      <w:szCs w:val="24"/>
    </w:rPr>
  </w:style>
  <w:style w:type="character" w:customStyle="1" w:styleId="Heading2Char">
    <w:name w:val="Heading 2 Char"/>
    <w:basedOn w:val="DefaultParagraphFont"/>
    <w:link w:val="Heading2"/>
    <w:rsid w:val="00DC78E9"/>
    <w:rPr>
      <w:rFonts w:ascii="Arial" w:eastAsia="Times New Roman" w:hAnsi="Arial" w:cs="Arial"/>
      <w:b/>
      <w:bCs/>
      <w:i/>
      <w:iCs/>
      <w:sz w:val="28"/>
      <w:szCs w:val="28"/>
    </w:rPr>
  </w:style>
  <w:style w:type="character" w:customStyle="1" w:styleId="Heading3Char">
    <w:name w:val="Heading 3 Char"/>
    <w:basedOn w:val="DefaultParagraphFont"/>
    <w:link w:val="Heading3"/>
    <w:rsid w:val="00DC78E9"/>
    <w:rPr>
      <w:rFonts w:ascii="Arial" w:eastAsia="Times New Roman" w:hAnsi="Arial" w:cs="Arial"/>
      <w:b/>
      <w:bCs/>
      <w:sz w:val="26"/>
      <w:szCs w:val="26"/>
    </w:rPr>
  </w:style>
  <w:style w:type="character" w:customStyle="1" w:styleId="Heading4Char">
    <w:name w:val="Heading 4 Char"/>
    <w:basedOn w:val="DefaultParagraphFont"/>
    <w:link w:val="Heading4"/>
    <w:rsid w:val="00DC78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C78E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C78E9"/>
    <w:rPr>
      <w:rFonts w:ascii="Times New Roman" w:eastAsia="Times New Roman" w:hAnsi="Times New Roman" w:cs="Times New Roman"/>
      <w:b/>
      <w:bCs/>
    </w:rPr>
  </w:style>
  <w:style w:type="character" w:customStyle="1" w:styleId="Heading7Char">
    <w:name w:val="Heading 7 Char"/>
    <w:basedOn w:val="DefaultParagraphFont"/>
    <w:link w:val="Heading7"/>
    <w:rsid w:val="00DC78E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C78E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C78E9"/>
    <w:rPr>
      <w:rFonts w:ascii="Arial" w:eastAsia="Times New Roman" w:hAnsi="Arial" w:cs="Arial"/>
    </w:rPr>
  </w:style>
  <w:style w:type="paragraph" w:styleId="Footer">
    <w:name w:val="footer"/>
    <w:basedOn w:val="Normal"/>
    <w:link w:val="FooterChar"/>
    <w:uiPriority w:val="99"/>
    <w:rsid w:val="00DC78E9"/>
    <w:pPr>
      <w:tabs>
        <w:tab w:val="center" w:pos="4153"/>
        <w:tab w:val="right" w:pos="8306"/>
      </w:tabs>
    </w:pPr>
    <w:rPr>
      <w:rFonts w:ascii="Courier" w:hAnsi="Courier"/>
      <w:sz w:val="20"/>
      <w:szCs w:val="20"/>
      <w:lang w:eastAsia="en-GB"/>
    </w:rPr>
  </w:style>
  <w:style w:type="character" w:customStyle="1" w:styleId="FooterChar">
    <w:name w:val="Footer Char"/>
    <w:basedOn w:val="DefaultParagraphFont"/>
    <w:link w:val="Footer"/>
    <w:uiPriority w:val="99"/>
    <w:rsid w:val="00DC78E9"/>
    <w:rPr>
      <w:rFonts w:ascii="Courier" w:eastAsia="Times New Roman" w:hAnsi="Courier" w:cs="Times New Roman"/>
      <w:sz w:val="20"/>
      <w:szCs w:val="20"/>
      <w:lang w:eastAsia="en-GB"/>
    </w:rPr>
  </w:style>
  <w:style w:type="character" w:styleId="PageNumber">
    <w:name w:val="page number"/>
    <w:basedOn w:val="DefaultParagraphFont"/>
    <w:uiPriority w:val="2"/>
    <w:rsid w:val="00DC78E9"/>
    <w:rPr>
      <w:rFonts w:ascii="Times New Roman" w:hAnsi="Times New Roman" w:cs="Times New Roman"/>
    </w:rPr>
  </w:style>
  <w:style w:type="paragraph" w:styleId="Header">
    <w:name w:val="header"/>
    <w:basedOn w:val="Normal"/>
    <w:link w:val="HeaderChar"/>
    <w:uiPriority w:val="99"/>
    <w:rsid w:val="00DC78E9"/>
    <w:pPr>
      <w:tabs>
        <w:tab w:val="center" w:pos="4153"/>
        <w:tab w:val="right" w:pos="8306"/>
      </w:tabs>
    </w:pPr>
  </w:style>
  <w:style w:type="character" w:customStyle="1" w:styleId="HeaderChar">
    <w:name w:val="Header Char"/>
    <w:basedOn w:val="DefaultParagraphFont"/>
    <w:link w:val="Header"/>
    <w:uiPriority w:val="99"/>
    <w:rsid w:val="00DC78E9"/>
    <w:rPr>
      <w:rFonts w:ascii="Times New Roman" w:eastAsia="Times New Roman" w:hAnsi="Times New Roman" w:cs="Times New Roman"/>
      <w:sz w:val="24"/>
      <w:szCs w:val="24"/>
    </w:rPr>
  </w:style>
  <w:style w:type="paragraph" w:styleId="Title">
    <w:name w:val="Title"/>
    <w:basedOn w:val="Normal"/>
    <w:link w:val="TitleChar"/>
    <w:qFormat/>
    <w:rsid w:val="00DC78E9"/>
    <w:pPr>
      <w:shd w:val="clear" w:color="auto" w:fill="000000"/>
      <w:tabs>
        <w:tab w:val="left" w:pos="2520"/>
      </w:tabs>
      <w:spacing w:line="360" w:lineRule="auto"/>
      <w:jc w:val="center"/>
    </w:pPr>
    <w:rPr>
      <w:rFonts w:ascii="Arial" w:hAnsi="Arial"/>
      <w:b/>
      <w:color w:val="FFFFFF"/>
      <w:spacing w:val="60"/>
      <w:sz w:val="56"/>
    </w:rPr>
  </w:style>
  <w:style w:type="character" w:customStyle="1" w:styleId="TitleChar">
    <w:name w:val="Title Char"/>
    <w:basedOn w:val="DefaultParagraphFont"/>
    <w:link w:val="Title"/>
    <w:rsid w:val="00DC78E9"/>
    <w:rPr>
      <w:rFonts w:ascii="Arial" w:eastAsia="Times New Roman" w:hAnsi="Arial" w:cs="Times New Roman"/>
      <w:b/>
      <w:color w:val="FFFFFF"/>
      <w:spacing w:val="60"/>
      <w:sz w:val="56"/>
      <w:szCs w:val="24"/>
      <w:shd w:val="clear" w:color="auto" w:fill="000000"/>
    </w:rPr>
  </w:style>
  <w:style w:type="paragraph" w:styleId="BlockText">
    <w:name w:val="Block Text"/>
    <w:basedOn w:val="Normal"/>
    <w:uiPriority w:val="99"/>
    <w:rsid w:val="00DC78E9"/>
    <w:pPr>
      <w:tabs>
        <w:tab w:val="left" w:pos="2520"/>
      </w:tabs>
      <w:ind w:left="1440" w:right="29"/>
      <w:jc w:val="right"/>
    </w:pPr>
    <w:rPr>
      <w:rFonts w:ascii="Arial" w:hAnsi="Arial"/>
      <w:spacing w:val="60"/>
    </w:rPr>
  </w:style>
  <w:style w:type="paragraph" w:styleId="BodyTextIndent2">
    <w:name w:val="Body Text Indent 2"/>
    <w:basedOn w:val="Normal"/>
    <w:link w:val="BodyTextIndent2Char"/>
    <w:rsid w:val="00DC78E9"/>
    <w:pPr>
      <w:tabs>
        <w:tab w:val="left" w:pos="1455"/>
        <w:tab w:val="left" w:pos="6885"/>
      </w:tabs>
      <w:ind w:left="810" w:hanging="810"/>
      <w:jc w:val="both"/>
    </w:pPr>
    <w:rPr>
      <w:rFonts w:ascii="Helv" w:hAnsi="Helv"/>
      <w:szCs w:val="20"/>
    </w:rPr>
  </w:style>
  <w:style w:type="character" w:customStyle="1" w:styleId="BodyTextIndent2Char">
    <w:name w:val="Body Text Indent 2 Char"/>
    <w:basedOn w:val="DefaultParagraphFont"/>
    <w:link w:val="BodyTextIndent2"/>
    <w:rsid w:val="00DC78E9"/>
    <w:rPr>
      <w:rFonts w:ascii="Helv" w:eastAsia="Times New Roman" w:hAnsi="Helv" w:cs="Times New Roman"/>
      <w:sz w:val="24"/>
      <w:szCs w:val="20"/>
    </w:rPr>
  </w:style>
  <w:style w:type="paragraph" w:styleId="BodyTextIndent3">
    <w:name w:val="Body Text Indent 3"/>
    <w:basedOn w:val="Normal"/>
    <w:link w:val="BodyTextIndent3Char"/>
    <w:uiPriority w:val="99"/>
    <w:rsid w:val="00DC78E9"/>
    <w:pPr>
      <w:spacing w:after="120"/>
      <w:ind w:left="283"/>
    </w:pPr>
    <w:rPr>
      <w:sz w:val="16"/>
      <w:szCs w:val="16"/>
    </w:rPr>
  </w:style>
  <w:style w:type="character" w:customStyle="1" w:styleId="BodyTextIndent3Char">
    <w:name w:val="Body Text Indent 3 Char"/>
    <w:basedOn w:val="DefaultParagraphFont"/>
    <w:link w:val="BodyTextIndent3"/>
    <w:uiPriority w:val="99"/>
    <w:rsid w:val="00DC78E9"/>
    <w:rPr>
      <w:rFonts w:ascii="Times New Roman" w:eastAsia="Times New Roman" w:hAnsi="Times New Roman" w:cs="Times New Roman"/>
      <w:sz w:val="16"/>
      <w:szCs w:val="16"/>
    </w:rPr>
  </w:style>
  <w:style w:type="paragraph" w:styleId="BodyTextIndent">
    <w:name w:val="Body Text Indent"/>
    <w:basedOn w:val="Normal"/>
    <w:link w:val="BodyTextIndentChar"/>
    <w:rsid w:val="00DC78E9"/>
    <w:pPr>
      <w:spacing w:after="120"/>
      <w:ind w:left="283"/>
    </w:pPr>
  </w:style>
  <w:style w:type="character" w:customStyle="1" w:styleId="BodyTextIndentChar">
    <w:name w:val="Body Text Indent Char"/>
    <w:basedOn w:val="DefaultParagraphFont"/>
    <w:link w:val="BodyTextIndent"/>
    <w:rsid w:val="00DC78E9"/>
    <w:rPr>
      <w:rFonts w:ascii="Times New Roman" w:eastAsia="Times New Roman" w:hAnsi="Times New Roman" w:cs="Times New Roman"/>
      <w:sz w:val="24"/>
      <w:szCs w:val="24"/>
    </w:rPr>
  </w:style>
  <w:style w:type="paragraph" w:styleId="BodyText">
    <w:name w:val="Body Text"/>
    <w:basedOn w:val="Normal"/>
    <w:link w:val="BodyTextChar"/>
    <w:rsid w:val="00DC78E9"/>
    <w:pPr>
      <w:spacing w:after="120"/>
    </w:pPr>
  </w:style>
  <w:style w:type="character" w:customStyle="1" w:styleId="BodyTextChar">
    <w:name w:val="Body Text Char"/>
    <w:basedOn w:val="DefaultParagraphFont"/>
    <w:link w:val="BodyText"/>
    <w:rsid w:val="00DC78E9"/>
    <w:rPr>
      <w:rFonts w:ascii="Times New Roman" w:eastAsia="Times New Roman" w:hAnsi="Times New Roman" w:cs="Times New Roman"/>
      <w:sz w:val="24"/>
      <w:szCs w:val="24"/>
    </w:rPr>
  </w:style>
  <w:style w:type="table" w:styleId="TableGrid">
    <w:name w:val="Table Grid"/>
    <w:basedOn w:val="TableNormal"/>
    <w:rsid w:val="00DC78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C78E9"/>
    <w:rPr>
      <w:rFonts w:ascii="Tahoma" w:hAnsi="Tahoma" w:cs="Tahoma"/>
      <w:sz w:val="16"/>
      <w:szCs w:val="16"/>
    </w:rPr>
  </w:style>
  <w:style w:type="character" w:customStyle="1" w:styleId="BalloonTextChar">
    <w:name w:val="Balloon Text Char"/>
    <w:basedOn w:val="DefaultParagraphFont"/>
    <w:link w:val="BalloonText"/>
    <w:semiHidden/>
    <w:rsid w:val="00DC78E9"/>
    <w:rPr>
      <w:rFonts w:ascii="Tahoma" w:eastAsia="Times New Roman" w:hAnsi="Tahoma" w:cs="Tahoma"/>
      <w:sz w:val="16"/>
      <w:szCs w:val="16"/>
    </w:rPr>
  </w:style>
  <w:style w:type="paragraph" w:styleId="DocumentMap">
    <w:name w:val="Document Map"/>
    <w:basedOn w:val="Normal"/>
    <w:link w:val="DocumentMapChar"/>
    <w:uiPriority w:val="99"/>
    <w:semiHidden/>
    <w:rsid w:val="00DC78E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C78E9"/>
    <w:rPr>
      <w:rFonts w:ascii="Tahoma" w:eastAsia="Times New Roman" w:hAnsi="Tahoma" w:cs="Tahoma"/>
      <w:sz w:val="24"/>
      <w:szCs w:val="24"/>
      <w:shd w:val="clear" w:color="auto" w:fill="000080"/>
    </w:rPr>
  </w:style>
  <w:style w:type="character" w:styleId="Strong">
    <w:name w:val="Strong"/>
    <w:basedOn w:val="DefaultParagraphFont"/>
    <w:uiPriority w:val="22"/>
    <w:qFormat/>
    <w:rsid w:val="00DC78E9"/>
    <w:rPr>
      <w:rFonts w:cs="Times New Roman"/>
      <w:b/>
    </w:rPr>
  </w:style>
  <w:style w:type="character" w:styleId="FootnoteReference">
    <w:name w:val="footnote reference"/>
    <w:basedOn w:val="DefaultParagraphFont"/>
    <w:uiPriority w:val="2"/>
    <w:rsid w:val="00DC78E9"/>
    <w:rPr>
      <w:rFonts w:cs="Times New Roman"/>
      <w:vertAlign w:val="superscript"/>
    </w:rPr>
  </w:style>
  <w:style w:type="paragraph" w:customStyle="1" w:styleId="BodytextCharCharChar">
    <w:name w:val="Body text Char Char Char"/>
    <w:basedOn w:val="Normal"/>
    <w:link w:val="BodytextCharCharCharChar"/>
    <w:uiPriority w:val="99"/>
    <w:rsid w:val="00DC78E9"/>
    <w:pPr>
      <w:spacing w:before="140" w:after="140"/>
      <w:ind w:left="397"/>
    </w:pPr>
    <w:rPr>
      <w:rFonts w:ascii="Arial" w:hAnsi="Arial"/>
      <w:lang w:eastAsia="en-GB"/>
    </w:rPr>
  </w:style>
  <w:style w:type="character" w:customStyle="1" w:styleId="BodytextCharCharCharChar">
    <w:name w:val="Body text Char Char Char Char"/>
    <w:link w:val="BodytextCharCharChar"/>
    <w:uiPriority w:val="99"/>
    <w:locked/>
    <w:rsid w:val="00DC78E9"/>
    <w:rPr>
      <w:rFonts w:ascii="Arial" w:eastAsia="Times New Roman" w:hAnsi="Arial" w:cs="Times New Roman"/>
      <w:sz w:val="24"/>
      <w:szCs w:val="24"/>
      <w:lang w:eastAsia="en-GB"/>
    </w:rPr>
  </w:style>
  <w:style w:type="paragraph" w:styleId="BodyText2">
    <w:name w:val="Body Text 2"/>
    <w:basedOn w:val="Normal"/>
    <w:link w:val="BodyText2Char"/>
    <w:rsid w:val="00DC78E9"/>
    <w:pPr>
      <w:spacing w:after="120" w:line="480" w:lineRule="auto"/>
    </w:pPr>
  </w:style>
  <w:style w:type="character" w:customStyle="1" w:styleId="BodyText2Char">
    <w:name w:val="Body Text 2 Char"/>
    <w:basedOn w:val="DefaultParagraphFont"/>
    <w:link w:val="BodyText2"/>
    <w:rsid w:val="00DC78E9"/>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DC78E9"/>
    <w:rPr>
      <w:sz w:val="20"/>
      <w:szCs w:val="20"/>
    </w:rPr>
  </w:style>
  <w:style w:type="character" w:customStyle="1" w:styleId="CommentTextChar">
    <w:name w:val="Comment Text Char"/>
    <w:basedOn w:val="DefaultParagraphFont"/>
    <w:link w:val="CommentText"/>
    <w:uiPriority w:val="99"/>
    <w:rsid w:val="00DC78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C78E9"/>
    <w:rPr>
      <w:b/>
      <w:bCs/>
    </w:rPr>
  </w:style>
  <w:style w:type="character" w:customStyle="1" w:styleId="CommentSubjectChar">
    <w:name w:val="Comment Subject Char"/>
    <w:basedOn w:val="CommentTextChar"/>
    <w:link w:val="CommentSubject"/>
    <w:semiHidden/>
    <w:rsid w:val="00DC78E9"/>
    <w:rPr>
      <w:rFonts w:ascii="Times New Roman" w:eastAsia="Times New Roman" w:hAnsi="Times New Roman" w:cs="Times New Roman"/>
      <w:b/>
      <w:bCs/>
      <w:sz w:val="20"/>
      <w:szCs w:val="20"/>
    </w:rPr>
  </w:style>
  <w:style w:type="character" w:styleId="Hyperlink">
    <w:name w:val="Hyperlink"/>
    <w:basedOn w:val="DefaultParagraphFont"/>
    <w:uiPriority w:val="99"/>
    <w:rsid w:val="00DC78E9"/>
    <w:rPr>
      <w:rFonts w:cs="Times New Roman"/>
      <w:color w:val="0000FF"/>
      <w:u w:val="single"/>
    </w:rPr>
  </w:style>
  <w:style w:type="character" w:styleId="FollowedHyperlink">
    <w:name w:val="FollowedHyperlink"/>
    <w:basedOn w:val="DefaultParagraphFont"/>
    <w:rsid w:val="00DC78E9"/>
    <w:rPr>
      <w:rFonts w:cs="Times New Roman"/>
      <w:color w:val="800080"/>
      <w:u w:val="single"/>
    </w:rPr>
  </w:style>
  <w:style w:type="paragraph" w:styleId="FootnoteText">
    <w:name w:val="footnote text"/>
    <w:basedOn w:val="Normal"/>
    <w:link w:val="FootnoteTextChar"/>
    <w:uiPriority w:val="2"/>
    <w:rsid w:val="00DC78E9"/>
    <w:rPr>
      <w:sz w:val="20"/>
      <w:szCs w:val="20"/>
    </w:rPr>
  </w:style>
  <w:style w:type="character" w:customStyle="1" w:styleId="FootnoteTextChar">
    <w:name w:val="Footnote Text Char"/>
    <w:basedOn w:val="DefaultParagraphFont"/>
    <w:link w:val="FootnoteText"/>
    <w:uiPriority w:val="2"/>
    <w:rsid w:val="00DC78E9"/>
    <w:rPr>
      <w:rFonts w:ascii="Times New Roman" w:eastAsia="Times New Roman" w:hAnsi="Times New Roman" w:cs="Times New Roman"/>
      <w:sz w:val="20"/>
      <w:szCs w:val="20"/>
    </w:rPr>
  </w:style>
  <w:style w:type="paragraph" w:customStyle="1" w:styleId="BodytextChar0">
    <w:name w:val="Body text Char"/>
    <w:basedOn w:val="Normal"/>
    <w:uiPriority w:val="99"/>
    <w:rsid w:val="00DC78E9"/>
    <w:pPr>
      <w:spacing w:before="140" w:after="140"/>
      <w:ind w:left="397"/>
    </w:pPr>
    <w:rPr>
      <w:rFonts w:ascii="Arial" w:hAnsi="Arial"/>
      <w:lang w:eastAsia="en-GB"/>
    </w:rPr>
  </w:style>
  <w:style w:type="paragraph" w:customStyle="1" w:styleId="bodytext0">
    <w:name w:val="bodytext"/>
    <w:basedOn w:val="Normal"/>
    <w:rsid w:val="00DC78E9"/>
    <w:pPr>
      <w:spacing w:before="100" w:beforeAutospacing="1" w:after="100" w:afterAutospacing="1"/>
    </w:pPr>
    <w:rPr>
      <w:lang w:eastAsia="en-GB"/>
    </w:rPr>
  </w:style>
  <w:style w:type="character" w:styleId="CommentReference">
    <w:name w:val="annotation reference"/>
    <w:basedOn w:val="DefaultParagraphFont"/>
    <w:uiPriority w:val="99"/>
    <w:rsid w:val="00DC78E9"/>
    <w:rPr>
      <w:rFonts w:cs="Times New Roman"/>
      <w:sz w:val="16"/>
    </w:rPr>
  </w:style>
  <w:style w:type="paragraph" w:styleId="NormalWeb">
    <w:name w:val="Normal (Web)"/>
    <w:basedOn w:val="Normal"/>
    <w:uiPriority w:val="99"/>
    <w:rsid w:val="00DC78E9"/>
    <w:pPr>
      <w:spacing w:before="100" w:beforeAutospacing="1" w:after="100" w:afterAutospacing="1"/>
    </w:pPr>
    <w:rPr>
      <w:lang w:eastAsia="en-GB"/>
    </w:rPr>
  </w:style>
  <w:style w:type="paragraph" w:styleId="ListParagraph">
    <w:name w:val="List Paragraph"/>
    <w:aliases w:val="Picture"/>
    <w:basedOn w:val="Normal"/>
    <w:link w:val="ListParagraphChar"/>
    <w:uiPriority w:val="34"/>
    <w:qFormat/>
    <w:rsid w:val="00DC78E9"/>
    <w:pPr>
      <w:ind w:left="720"/>
    </w:pPr>
  </w:style>
  <w:style w:type="paragraph" w:customStyle="1" w:styleId="Default">
    <w:name w:val="Default"/>
    <w:rsid w:val="00DC78E9"/>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GB"/>
    </w:rPr>
  </w:style>
  <w:style w:type="paragraph" w:customStyle="1" w:styleId="HEADING">
    <w:name w:val="HEADING"/>
    <w:basedOn w:val="Title"/>
    <w:link w:val="HEADINGChar"/>
    <w:uiPriority w:val="99"/>
    <w:rsid w:val="00DC78E9"/>
    <w:rPr>
      <w:rFonts w:ascii="Calibri" w:hAnsi="Calibri"/>
      <w:sz w:val="26"/>
      <w:szCs w:val="26"/>
    </w:rPr>
  </w:style>
  <w:style w:type="paragraph" w:styleId="NoSpacing">
    <w:name w:val="No Spacing"/>
    <w:link w:val="NoSpacingChar"/>
    <w:uiPriority w:val="99"/>
    <w:qFormat/>
    <w:rsid w:val="00DC78E9"/>
    <w:pPr>
      <w:spacing w:after="0" w:line="240" w:lineRule="auto"/>
    </w:pPr>
    <w:rPr>
      <w:rFonts w:ascii="Calibri" w:eastAsia="MS Mincho" w:hAnsi="Calibri" w:cs="Times New Roman"/>
      <w:lang w:val="en-US" w:eastAsia="ja-JP"/>
    </w:rPr>
  </w:style>
  <w:style w:type="character" w:customStyle="1" w:styleId="HEADINGChar">
    <w:name w:val="HEADING Char"/>
    <w:link w:val="HEADING"/>
    <w:uiPriority w:val="99"/>
    <w:locked/>
    <w:rsid w:val="00DC78E9"/>
    <w:rPr>
      <w:rFonts w:ascii="Calibri" w:eastAsia="Times New Roman" w:hAnsi="Calibri" w:cs="Times New Roman"/>
      <w:b/>
      <w:color w:val="FFFFFF"/>
      <w:spacing w:val="60"/>
      <w:sz w:val="26"/>
      <w:szCs w:val="26"/>
      <w:shd w:val="clear" w:color="auto" w:fill="000000"/>
    </w:rPr>
  </w:style>
  <w:style w:type="character" w:customStyle="1" w:styleId="NoSpacingChar">
    <w:name w:val="No Spacing Char"/>
    <w:link w:val="NoSpacing"/>
    <w:uiPriority w:val="99"/>
    <w:locked/>
    <w:rsid w:val="00DC78E9"/>
    <w:rPr>
      <w:rFonts w:ascii="Calibri" w:eastAsia="MS Mincho" w:hAnsi="Calibri" w:cs="Times New Roman"/>
      <w:lang w:val="en-US" w:eastAsia="ja-JP"/>
    </w:rPr>
  </w:style>
  <w:style w:type="paragraph" w:styleId="Subtitle">
    <w:name w:val="Subtitle"/>
    <w:basedOn w:val="Normal"/>
    <w:next w:val="Normal"/>
    <w:link w:val="SubtitleChar"/>
    <w:uiPriority w:val="99"/>
    <w:qFormat/>
    <w:rsid w:val="00DC78E9"/>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basedOn w:val="DefaultParagraphFont"/>
    <w:link w:val="Subtitle"/>
    <w:uiPriority w:val="99"/>
    <w:rsid w:val="00DC78E9"/>
    <w:rPr>
      <w:rFonts w:ascii="Cambria" w:eastAsia="MS Gothic" w:hAnsi="Cambria" w:cs="Times New Roman"/>
      <w:i/>
      <w:iCs/>
      <w:color w:val="4F81BD"/>
      <w:spacing w:val="15"/>
      <w:sz w:val="24"/>
      <w:szCs w:val="24"/>
      <w:lang w:val="en-US" w:eastAsia="ja-JP"/>
    </w:rPr>
  </w:style>
  <w:style w:type="paragraph" w:styleId="Revision">
    <w:name w:val="Revision"/>
    <w:hidden/>
    <w:uiPriority w:val="99"/>
    <w:semiHidden/>
    <w:rsid w:val="00DC78E9"/>
    <w:pPr>
      <w:spacing w:after="0" w:line="240" w:lineRule="auto"/>
    </w:pPr>
    <w:rPr>
      <w:rFonts w:ascii="Times New Roman" w:eastAsia="Times New Roman" w:hAnsi="Times New Roman" w:cs="Times New Roman"/>
      <w:sz w:val="24"/>
      <w:szCs w:val="24"/>
    </w:rPr>
  </w:style>
  <w:style w:type="paragraph" w:customStyle="1" w:styleId="inlinenormal">
    <w:name w:val="inlinenormal"/>
    <w:basedOn w:val="Normal"/>
    <w:rsid w:val="00DC78E9"/>
    <w:pPr>
      <w:autoSpaceDN w:val="0"/>
      <w:spacing w:before="120" w:after="60" w:line="264" w:lineRule="auto"/>
    </w:pPr>
    <w:rPr>
      <w:rFonts w:ascii="Arial" w:hAnsi="Arial" w:cs="Arial"/>
      <w:lang w:eastAsia="en-GB"/>
    </w:rPr>
  </w:style>
  <w:style w:type="character" w:styleId="Emphasis">
    <w:name w:val="Emphasis"/>
    <w:uiPriority w:val="20"/>
    <w:qFormat/>
    <w:rsid w:val="00DC78E9"/>
    <w:rPr>
      <w:i/>
      <w:iCs/>
    </w:rPr>
  </w:style>
  <w:style w:type="character" w:customStyle="1" w:styleId="ListParagraphChar">
    <w:name w:val="List Paragraph Char"/>
    <w:aliases w:val="Picture Char"/>
    <w:basedOn w:val="DefaultParagraphFont"/>
    <w:link w:val="ListParagraph"/>
    <w:uiPriority w:val="34"/>
    <w:locked/>
    <w:rsid w:val="00DC78E9"/>
    <w:rPr>
      <w:rFonts w:ascii="Times New Roman" w:eastAsia="Times New Roman" w:hAnsi="Times New Roman" w:cs="Times New Roman"/>
      <w:sz w:val="24"/>
      <w:szCs w:val="24"/>
    </w:rPr>
  </w:style>
  <w:style w:type="paragraph" w:customStyle="1" w:styleId="SOAHeading1">
    <w:name w:val="SOA Heading 1"/>
    <w:basedOn w:val="Normal"/>
    <w:autoRedefine/>
    <w:uiPriority w:val="2"/>
    <w:qFormat/>
    <w:rsid w:val="00DC78E9"/>
    <w:pPr>
      <w:autoSpaceDE w:val="0"/>
      <w:autoSpaceDN w:val="0"/>
      <w:adjustRightInd w:val="0"/>
      <w:spacing w:after="120"/>
    </w:pPr>
    <w:rPr>
      <w:rFonts w:ascii="Arial" w:eastAsia="Calibri" w:hAnsi="Arial" w:cs="Helvetica-Light"/>
      <w:b/>
      <w:color w:val="000000"/>
      <w:sz w:val="36"/>
      <w:szCs w:val="40"/>
    </w:rPr>
  </w:style>
  <w:style w:type="paragraph" w:customStyle="1" w:styleId="SOAHeading3numbered">
    <w:name w:val="SOA Heading 3 numbered"/>
    <w:basedOn w:val="Heading2"/>
    <w:autoRedefine/>
    <w:uiPriority w:val="2"/>
    <w:qFormat/>
    <w:rsid w:val="00DC78E9"/>
    <w:pPr>
      <w:autoSpaceDE w:val="0"/>
      <w:autoSpaceDN w:val="0"/>
      <w:adjustRightInd w:val="0"/>
      <w:spacing w:before="0" w:after="0"/>
      <w:jc w:val="both"/>
    </w:pPr>
    <w:rPr>
      <w:rFonts w:ascii="Corbel" w:eastAsia="Arial Unicode MS" w:hAnsi="Corbel" w:cs="Arial Unicode MS"/>
      <w:i w:val="0"/>
      <w:iCs w:val="0"/>
      <w:color w:val="000000"/>
      <w:sz w:val="32"/>
      <w:szCs w:val="26"/>
      <w:lang w:eastAsia="en-GB"/>
    </w:rPr>
  </w:style>
  <w:style w:type="paragraph" w:customStyle="1" w:styleId="SOASub-heading1-Bold12">
    <w:name w:val="SOA Sub-heading 1 - Bold 12"/>
    <w:basedOn w:val="ListParagraph"/>
    <w:autoRedefine/>
    <w:uiPriority w:val="2"/>
    <w:qFormat/>
    <w:rsid w:val="00DC78E9"/>
    <w:pPr>
      <w:autoSpaceDE w:val="0"/>
      <w:autoSpaceDN w:val="0"/>
      <w:adjustRightInd w:val="0"/>
      <w:ind w:left="0"/>
      <w:contextualSpacing/>
      <w:jc w:val="both"/>
    </w:pPr>
    <w:rPr>
      <w:rFonts w:ascii="Corbel" w:eastAsia="Arial Unicode MS" w:hAnsi="Corbel" w:cs="Arial Unicode MS"/>
      <w:b/>
      <w:bCs/>
      <w:sz w:val="32"/>
      <w:szCs w:val="22"/>
    </w:rPr>
  </w:style>
  <w:style w:type="paragraph" w:customStyle="1" w:styleId="SOASub-heading2-Bold12">
    <w:name w:val="SOA Sub-heading 2 - Bold 12"/>
    <w:basedOn w:val="ListParagraph"/>
    <w:autoRedefine/>
    <w:uiPriority w:val="2"/>
    <w:qFormat/>
    <w:rsid w:val="00DC78E9"/>
    <w:pPr>
      <w:autoSpaceDE w:val="0"/>
      <w:autoSpaceDN w:val="0"/>
      <w:adjustRightInd w:val="0"/>
      <w:ind w:left="0"/>
      <w:jc w:val="both"/>
    </w:pPr>
    <w:rPr>
      <w:rFonts w:ascii="Corbel" w:eastAsia="Arial Unicode MS" w:hAnsi="Corbel" w:cs="Arial Unicode MS"/>
      <w:b/>
      <w:sz w:val="32"/>
      <w:szCs w:val="22"/>
      <w:lang w:eastAsia="en-GB"/>
    </w:rPr>
  </w:style>
  <w:style w:type="paragraph" w:customStyle="1" w:styleId="SOAHeadingMisc-Bold12">
    <w:name w:val="SOA Heading Misc - Bold 12"/>
    <w:basedOn w:val="Normal"/>
    <w:autoRedefine/>
    <w:uiPriority w:val="2"/>
    <w:qFormat/>
    <w:rsid w:val="00DC78E9"/>
    <w:pPr>
      <w:autoSpaceDE w:val="0"/>
      <w:autoSpaceDN w:val="0"/>
      <w:adjustRightInd w:val="0"/>
      <w:jc w:val="both"/>
    </w:pPr>
    <w:rPr>
      <w:rFonts w:ascii="Corbel" w:eastAsia="Arial Unicode MS" w:hAnsi="Corbel" w:cs="Arial Unicode MS"/>
      <w:b/>
      <w:sz w:val="32"/>
    </w:rPr>
  </w:style>
  <w:style w:type="paragraph" w:customStyle="1" w:styleId="Pa28">
    <w:name w:val="Pa28"/>
    <w:basedOn w:val="Default"/>
    <w:next w:val="Default"/>
    <w:uiPriority w:val="99"/>
    <w:rsid w:val="00DC78E9"/>
    <w:pPr>
      <w:spacing w:line="201" w:lineRule="atLeast"/>
    </w:pPr>
    <w:rPr>
      <w:rFonts w:ascii="FS Lola" w:eastAsiaTheme="minorHAnsi" w:hAnsi="FS Lola" w:cstheme="minorBidi"/>
      <w:color w:val="auto"/>
      <w:lang w:eastAsia="en-US"/>
    </w:rPr>
  </w:style>
  <w:style w:type="paragraph" w:customStyle="1" w:styleId="Pa24">
    <w:name w:val="Pa24"/>
    <w:basedOn w:val="Default"/>
    <w:next w:val="Default"/>
    <w:uiPriority w:val="99"/>
    <w:rsid w:val="00DC78E9"/>
    <w:pPr>
      <w:spacing w:line="231" w:lineRule="atLeast"/>
    </w:pPr>
    <w:rPr>
      <w:rFonts w:ascii="FS Lola" w:eastAsiaTheme="minorHAnsi" w:hAnsi="FS Lola" w:cstheme="minorBidi"/>
      <w:color w:val="auto"/>
      <w:lang w:eastAsia="en-US"/>
    </w:rPr>
  </w:style>
  <w:style w:type="character" w:customStyle="1" w:styleId="A12">
    <w:name w:val="A12"/>
    <w:uiPriority w:val="99"/>
    <w:rsid w:val="00DC78E9"/>
    <w:rPr>
      <w:rFonts w:ascii="FS Lola ExtraBold" w:hAnsi="FS Lola ExtraBold" w:cs="FS Lola ExtraBold"/>
      <w:b/>
      <w:bCs/>
      <w:color w:val="000000"/>
      <w:sz w:val="16"/>
      <w:szCs w:val="16"/>
    </w:rPr>
  </w:style>
  <w:style w:type="paragraph" w:customStyle="1" w:styleId="Pa29">
    <w:name w:val="Pa29"/>
    <w:basedOn w:val="Default"/>
    <w:next w:val="Default"/>
    <w:uiPriority w:val="99"/>
    <w:rsid w:val="00DC78E9"/>
    <w:pPr>
      <w:spacing w:line="201" w:lineRule="atLeast"/>
    </w:pPr>
    <w:rPr>
      <w:rFonts w:ascii="FS Lola" w:eastAsiaTheme="minorHAnsi" w:hAnsi="FS Lola" w:cstheme="minorBidi"/>
      <w:color w:val="auto"/>
      <w:lang w:eastAsia="en-US"/>
    </w:rPr>
  </w:style>
  <w:style w:type="character" w:customStyle="1" w:styleId="A3">
    <w:name w:val="A3"/>
    <w:uiPriority w:val="99"/>
    <w:rsid w:val="00DC78E9"/>
    <w:rPr>
      <w:rFonts w:cs="FS Lola"/>
      <w:color w:val="000000"/>
    </w:rPr>
  </w:style>
  <w:style w:type="character" w:customStyle="1" w:styleId="A14">
    <w:name w:val="A14"/>
    <w:uiPriority w:val="99"/>
    <w:rsid w:val="00DC78E9"/>
    <w:rPr>
      <w:rFonts w:cs="FS Lola"/>
      <w:b/>
      <w:bCs/>
      <w:color w:val="000000"/>
      <w:sz w:val="16"/>
      <w:szCs w:val="16"/>
    </w:rPr>
  </w:style>
  <w:style w:type="paragraph" w:customStyle="1" w:styleId="Pa75">
    <w:name w:val="Pa75"/>
    <w:basedOn w:val="Default"/>
    <w:next w:val="Default"/>
    <w:uiPriority w:val="99"/>
    <w:rsid w:val="00DC78E9"/>
    <w:pPr>
      <w:spacing w:line="171" w:lineRule="atLeast"/>
    </w:pPr>
    <w:rPr>
      <w:rFonts w:ascii="FS Lola" w:eastAsiaTheme="minorHAnsi" w:hAnsi="FS Lola" w:cstheme="minorBidi"/>
      <w:color w:val="auto"/>
      <w:lang w:eastAsia="en-US"/>
    </w:rPr>
  </w:style>
  <w:style w:type="paragraph" w:customStyle="1" w:styleId="Pa80">
    <w:name w:val="Pa80"/>
    <w:basedOn w:val="Default"/>
    <w:next w:val="Default"/>
    <w:uiPriority w:val="99"/>
    <w:rsid w:val="00DC78E9"/>
    <w:pPr>
      <w:spacing w:line="181" w:lineRule="atLeast"/>
    </w:pPr>
    <w:rPr>
      <w:rFonts w:ascii="FS Lola" w:eastAsiaTheme="minorHAnsi" w:hAnsi="FS Lola" w:cstheme="minorBidi"/>
      <w:color w:val="auto"/>
      <w:lang w:eastAsia="en-US"/>
    </w:rPr>
  </w:style>
  <w:style w:type="character" w:customStyle="1" w:styleId="A5">
    <w:name w:val="A5"/>
    <w:uiPriority w:val="99"/>
    <w:rsid w:val="00DC78E9"/>
    <w:rPr>
      <w:rFonts w:cs="FS Lola"/>
      <w:color w:val="000000"/>
      <w:sz w:val="18"/>
      <w:szCs w:val="18"/>
    </w:rPr>
  </w:style>
  <w:style w:type="paragraph" w:customStyle="1" w:styleId="Pa45">
    <w:name w:val="Pa45"/>
    <w:basedOn w:val="Default"/>
    <w:next w:val="Default"/>
    <w:uiPriority w:val="99"/>
    <w:rsid w:val="00DC78E9"/>
    <w:pPr>
      <w:spacing w:line="201" w:lineRule="atLeast"/>
    </w:pPr>
    <w:rPr>
      <w:rFonts w:ascii="FS Lola" w:eastAsiaTheme="minorHAnsi" w:hAnsi="FS Lola" w:cstheme="minorBidi"/>
      <w:color w:val="auto"/>
      <w:lang w:eastAsia="en-US"/>
    </w:rPr>
  </w:style>
  <w:style w:type="paragraph" w:customStyle="1" w:styleId="Bullet">
    <w:name w:val="Bullet"/>
    <w:basedOn w:val="ListParagraph"/>
    <w:qFormat/>
    <w:rsid w:val="00DC78E9"/>
    <w:pPr>
      <w:numPr>
        <w:numId w:val="1"/>
      </w:numPr>
      <w:autoSpaceDE w:val="0"/>
      <w:autoSpaceDN w:val="0"/>
      <w:adjustRightInd w:val="0"/>
      <w:spacing w:after="120"/>
      <w:ind w:hanging="357"/>
      <w:contextualSpacing/>
      <w:jc w:val="both"/>
    </w:pPr>
    <w:rPr>
      <w:rFonts w:ascii="Arial" w:eastAsia="Calibri" w:hAnsi="Arial" w:cs="Arial"/>
      <w:color w:val="000000"/>
      <w:lang w:eastAsia="en-GB"/>
    </w:rPr>
  </w:style>
  <w:style w:type="paragraph" w:customStyle="1" w:styleId="Footnote">
    <w:name w:val="Footnote"/>
    <w:basedOn w:val="FootnoteText"/>
    <w:uiPriority w:val="2"/>
    <w:qFormat/>
    <w:rsid w:val="00DC78E9"/>
    <w:pPr>
      <w:autoSpaceDE w:val="0"/>
      <w:autoSpaceDN w:val="0"/>
      <w:adjustRightInd w:val="0"/>
      <w:ind w:left="284" w:hanging="284"/>
      <w:jc w:val="both"/>
    </w:pPr>
    <w:rPr>
      <w:rFonts w:ascii="Arial" w:eastAsia="Calibri" w:hAnsi="Arial" w:cs="Helvetica-Light"/>
      <w:color w:val="000000"/>
    </w:rPr>
  </w:style>
  <w:style w:type="paragraph" w:customStyle="1" w:styleId="TableSource">
    <w:name w:val="Table Source"/>
    <w:basedOn w:val="Normal"/>
    <w:uiPriority w:val="1"/>
    <w:qFormat/>
    <w:rsid w:val="00DC78E9"/>
    <w:pPr>
      <w:autoSpaceDE w:val="0"/>
      <w:autoSpaceDN w:val="0"/>
      <w:adjustRightInd w:val="0"/>
      <w:spacing w:before="60" w:after="120"/>
      <w:jc w:val="both"/>
    </w:pPr>
    <w:rPr>
      <w:rFonts w:ascii="Arial" w:eastAsia="Calibri" w:hAnsi="Arial" w:cs="Helvetica-Light"/>
      <w:i/>
      <w:color w:val="000000"/>
      <w:sz w:val="18"/>
      <w:szCs w:val="18"/>
    </w:rPr>
  </w:style>
  <w:style w:type="paragraph" w:customStyle="1" w:styleId="TableTitle">
    <w:name w:val="Table Title"/>
    <w:basedOn w:val="Normal"/>
    <w:uiPriority w:val="1"/>
    <w:qFormat/>
    <w:rsid w:val="00DC78E9"/>
    <w:pPr>
      <w:autoSpaceDE w:val="0"/>
      <w:autoSpaceDN w:val="0"/>
      <w:adjustRightInd w:val="0"/>
      <w:spacing w:before="60" w:after="120"/>
      <w:jc w:val="both"/>
    </w:pPr>
    <w:rPr>
      <w:rFonts w:ascii="Arial" w:eastAsia="Calibri" w:hAnsi="Arial" w:cs="Helvetica-Light"/>
      <w:b/>
      <w:color w:val="000000"/>
      <w:sz w:val="28"/>
      <w:szCs w:val="28"/>
    </w:rPr>
  </w:style>
  <w:style w:type="paragraph" w:styleId="TOC2">
    <w:name w:val="toc 2"/>
    <w:basedOn w:val="TOC3"/>
    <w:next w:val="Normal"/>
    <w:uiPriority w:val="39"/>
    <w:qFormat/>
    <w:rsid w:val="00DC78E9"/>
    <w:pPr>
      <w:ind w:left="720"/>
      <w:outlineLvl w:val="0"/>
    </w:pPr>
    <w:rPr>
      <w:i w:val="0"/>
    </w:rPr>
  </w:style>
  <w:style w:type="paragraph" w:styleId="TOC3">
    <w:name w:val="toc 3"/>
    <w:next w:val="Normal"/>
    <w:uiPriority w:val="39"/>
    <w:qFormat/>
    <w:rsid w:val="00DC78E9"/>
    <w:pPr>
      <w:tabs>
        <w:tab w:val="right" w:leader="dot" w:pos="10490"/>
      </w:tabs>
      <w:spacing w:after="0" w:line="240" w:lineRule="auto"/>
      <w:ind w:left="1440"/>
    </w:pPr>
    <w:rPr>
      <w:rFonts w:ascii="Arial" w:eastAsia="Cambria" w:hAnsi="Arial" w:cs="Arial"/>
      <w:i/>
      <w:noProof/>
      <w:color w:val="000000"/>
      <w:sz w:val="24"/>
      <w:szCs w:val="24"/>
    </w:rPr>
  </w:style>
  <w:style w:type="paragraph" w:styleId="TOC1">
    <w:name w:val="toc 1"/>
    <w:basedOn w:val="Normal"/>
    <w:next w:val="Normal"/>
    <w:uiPriority w:val="39"/>
    <w:qFormat/>
    <w:rsid w:val="00DC78E9"/>
    <w:pPr>
      <w:tabs>
        <w:tab w:val="right" w:leader="dot" w:pos="10490"/>
      </w:tabs>
      <w:autoSpaceDE w:val="0"/>
      <w:autoSpaceDN w:val="0"/>
      <w:adjustRightInd w:val="0"/>
      <w:spacing w:before="120" w:after="120"/>
      <w:jc w:val="both"/>
      <w:outlineLvl w:val="0"/>
    </w:pPr>
    <w:rPr>
      <w:rFonts w:ascii="Arial" w:eastAsia="Calibri" w:hAnsi="Arial" w:cs="Helvetica-Light"/>
      <w:b/>
      <w:bCs/>
      <w:noProof/>
      <w:color w:val="000000"/>
      <w:szCs w:val="20"/>
    </w:rPr>
  </w:style>
  <w:style w:type="paragraph" w:styleId="TOC4">
    <w:name w:val="toc 4"/>
    <w:basedOn w:val="Normal"/>
    <w:next w:val="Normal"/>
    <w:autoRedefine/>
    <w:uiPriority w:val="39"/>
    <w:semiHidden/>
    <w:unhideWhenUsed/>
    <w:rsid w:val="00DC78E9"/>
    <w:pPr>
      <w:autoSpaceDE w:val="0"/>
      <w:autoSpaceDN w:val="0"/>
      <w:adjustRightInd w:val="0"/>
      <w:spacing w:after="120"/>
      <w:ind w:left="720"/>
      <w:jc w:val="both"/>
    </w:pPr>
    <w:rPr>
      <w:rFonts w:ascii="Arial" w:eastAsia="Calibri" w:hAnsi="Arial" w:cs="Helvetica-Light"/>
      <w:color w:val="000000"/>
    </w:rPr>
  </w:style>
  <w:style w:type="paragraph" w:customStyle="1" w:styleId="Title2">
    <w:name w:val="Title 2"/>
    <w:basedOn w:val="Heading2"/>
    <w:link w:val="Title2Char"/>
    <w:uiPriority w:val="1"/>
    <w:qFormat/>
    <w:rsid w:val="00DC78E9"/>
    <w:pPr>
      <w:autoSpaceDE w:val="0"/>
      <w:autoSpaceDN w:val="0"/>
      <w:adjustRightInd w:val="0"/>
      <w:spacing w:before="60" w:after="120"/>
      <w:jc w:val="both"/>
    </w:pPr>
    <w:rPr>
      <w:rFonts w:cs="Helvetica-Light"/>
      <w:i w:val="0"/>
      <w:iCs w:val="0"/>
      <w:color w:val="000000"/>
      <w:sz w:val="40"/>
      <w:szCs w:val="40"/>
      <w:lang w:eastAsia="en-GB"/>
    </w:rPr>
  </w:style>
  <w:style w:type="character" w:customStyle="1" w:styleId="Title2Char">
    <w:name w:val="Title 2 Char"/>
    <w:link w:val="Title2"/>
    <w:uiPriority w:val="1"/>
    <w:rsid w:val="00DC78E9"/>
    <w:rPr>
      <w:rFonts w:ascii="Arial" w:eastAsia="Times New Roman" w:hAnsi="Arial" w:cs="Helvetica-Light"/>
      <w:b/>
      <w:bCs/>
      <w:color w:val="000000"/>
      <w:sz w:val="40"/>
      <w:szCs w:val="40"/>
      <w:lang w:eastAsia="en-GB"/>
    </w:rPr>
  </w:style>
  <w:style w:type="paragraph" w:customStyle="1" w:styleId="anchor">
    <w:name w:val="anchor"/>
    <w:basedOn w:val="Normal"/>
    <w:qFormat/>
    <w:rsid w:val="00DC78E9"/>
    <w:pPr>
      <w:autoSpaceDE w:val="0"/>
      <w:autoSpaceDN w:val="0"/>
      <w:adjustRightInd w:val="0"/>
    </w:pPr>
    <w:rPr>
      <w:rFonts w:ascii="Arial" w:eastAsia="Calibri" w:hAnsi="Arial" w:cs="Helvetica-Light"/>
      <w:b/>
      <w:color w:val="FF0000"/>
      <w:sz w:val="2"/>
      <w:szCs w:val="2"/>
    </w:rPr>
  </w:style>
  <w:style w:type="character" w:customStyle="1" w:styleId="CommentTextChar1">
    <w:name w:val="Comment Text Char1"/>
    <w:basedOn w:val="DefaultParagraphFont"/>
    <w:uiPriority w:val="99"/>
    <w:semiHidden/>
    <w:rsid w:val="00DC78E9"/>
    <w:rPr>
      <w:rFonts w:eastAsia="Calibri" w:cs="Helvetica-Light"/>
      <w:color w:val="000000"/>
      <w:lang w:eastAsia="en-US"/>
    </w:rPr>
  </w:style>
  <w:style w:type="character" w:customStyle="1" w:styleId="CommentSubjectChar1">
    <w:name w:val="Comment Subject Char1"/>
    <w:uiPriority w:val="99"/>
    <w:semiHidden/>
    <w:rsid w:val="00DC78E9"/>
    <w:rPr>
      <w:rFonts w:ascii="Arial" w:eastAsia="Calibri" w:hAnsi="Arial" w:cs="Helvetica-Light"/>
      <w:b/>
      <w:bCs/>
      <w:color w:val="000000"/>
      <w:lang w:eastAsia="en-US"/>
    </w:rPr>
  </w:style>
  <w:style w:type="paragraph" w:customStyle="1" w:styleId="TableHeadingText">
    <w:name w:val="Table Heading Text"/>
    <w:basedOn w:val="Normal"/>
    <w:rsid w:val="00DC78E9"/>
    <w:pPr>
      <w:spacing w:before="20" w:after="20"/>
    </w:pPr>
    <w:rPr>
      <w:rFonts w:ascii="Arial" w:hAnsi="Arial" w:cs="Arial"/>
      <w:b/>
      <w:sz w:val="18"/>
      <w:szCs w:val="20"/>
    </w:rPr>
  </w:style>
  <w:style w:type="paragraph" w:customStyle="1" w:styleId="TableTextLeft">
    <w:name w:val="Table Text Left"/>
    <w:basedOn w:val="Normal"/>
    <w:semiHidden/>
    <w:unhideWhenUsed/>
    <w:rsid w:val="00DC78E9"/>
    <w:pPr>
      <w:spacing w:before="20" w:after="20"/>
    </w:pPr>
    <w:rPr>
      <w:rFonts w:ascii="Arial" w:hAnsi="Arial" w:cs="Arial"/>
      <w:sz w:val="18"/>
      <w:szCs w:val="18"/>
    </w:rPr>
  </w:style>
  <w:style w:type="paragraph" w:customStyle="1" w:styleId="TableTextRight">
    <w:name w:val="Table Text Right"/>
    <w:basedOn w:val="TableTextLeft"/>
    <w:uiPriority w:val="1"/>
    <w:unhideWhenUsed/>
    <w:qFormat/>
    <w:rsid w:val="00DC78E9"/>
    <w:pPr>
      <w:jc w:val="right"/>
    </w:pPr>
    <w:rPr>
      <w:sz w:val="22"/>
    </w:rPr>
  </w:style>
  <w:style w:type="paragraph" w:customStyle="1" w:styleId="TableHeadingTextRight">
    <w:name w:val="Table Heading Text Right"/>
    <w:basedOn w:val="TableHeadingText"/>
    <w:uiPriority w:val="1"/>
    <w:qFormat/>
    <w:rsid w:val="00DC78E9"/>
    <w:pPr>
      <w:jc w:val="right"/>
    </w:pPr>
  </w:style>
  <w:style w:type="paragraph" w:customStyle="1" w:styleId="TableText">
    <w:name w:val="Table Text"/>
    <w:basedOn w:val="Normal"/>
    <w:rsid w:val="00DC78E9"/>
    <w:pPr>
      <w:spacing w:before="40" w:after="40"/>
    </w:pPr>
    <w:rPr>
      <w:rFonts w:ascii="Arial" w:hAnsi="Arial" w:cs="Arial"/>
      <w:sz w:val="20"/>
      <w:szCs w:val="20"/>
    </w:rPr>
  </w:style>
  <w:style w:type="paragraph" w:customStyle="1" w:styleId="Heading2-numbered">
    <w:name w:val="Heading 2 - numbered"/>
    <w:qFormat/>
    <w:rsid w:val="00DC78E9"/>
    <w:pPr>
      <w:numPr>
        <w:numId w:val="2"/>
      </w:numPr>
      <w:tabs>
        <w:tab w:val="left" w:pos="567"/>
      </w:tabs>
      <w:spacing w:before="200" w:after="120" w:line="240" w:lineRule="auto"/>
      <w:ind w:left="567" w:hanging="567"/>
    </w:pPr>
    <w:rPr>
      <w:rFonts w:ascii="Arial" w:eastAsia="Times New Roman" w:hAnsi="Arial" w:cs="Times New Roman"/>
      <w:b/>
      <w:bCs/>
      <w:sz w:val="28"/>
      <w:szCs w:val="26"/>
    </w:rPr>
  </w:style>
  <w:style w:type="paragraph" w:customStyle="1" w:styleId="Normal-indent">
    <w:name w:val="Normal - indent"/>
    <w:basedOn w:val="Normal"/>
    <w:uiPriority w:val="2"/>
    <w:qFormat/>
    <w:rsid w:val="00DC78E9"/>
    <w:pPr>
      <w:autoSpaceDE w:val="0"/>
      <w:autoSpaceDN w:val="0"/>
      <w:adjustRightInd w:val="0"/>
      <w:spacing w:after="120"/>
      <w:ind w:left="360"/>
      <w:jc w:val="both"/>
    </w:pPr>
    <w:rPr>
      <w:rFonts w:ascii="Arial" w:eastAsia="Calibri" w:hAnsi="Arial" w:cs="Helvetica-Light"/>
      <w:color w:val="000000"/>
    </w:rPr>
  </w:style>
  <w:style w:type="paragraph" w:customStyle="1" w:styleId="Bullet-indent">
    <w:name w:val="Bullet - indent"/>
    <w:basedOn w:val="Bullet"/>
    <w:qFormat/>
    <w:rsid w:val="00DC78E9"/>
    <w:pPr>
      <w:numPr>
        <w:ilvl w:val="1"/>
      </w:numPr>
      <w:ind w:left="363" w:hanging="357"/>
    </w:pPr>
  </w:style>
  <w:style w:type="paragraph" w:customStyle="1" w:styleId="Heading3-indent">
    <w:name w:val="Heading 3 - indent"/>
    <w:basedOn w:val="Heading3"/>
    <w:qFormat/>
    <w:rsid w:val="00DC78E9"/>
    <w:pPr>
      <w:keepLines/>
      <w:autoSpaceDE w:val="0"/>
      <w:autoSpaceDN w:val="0"/>
      <w:adjustRightInd w:val="0"/>
      <w:spacing w:before="200" w:after="120"/>
      <w:ind w:left="360"/>
      <w:jc w:val="both"/>
    </w:pPr>
    <w:rPr>
      <w:rFonts w:cs="Times New Roman"/>
      <w:sz w:val="24"/>
      <w:szCs w:val="24"/>
    </w:rPr>
  </w:style>
  <w:style w:type="paragraph" w:styleId="Bibliography">
    <w:name w:val="Bibliography"/>
    <w:basedOn w:val="Normal"/>
    <w:next w:val="Normal"/>
    <w:uiPriority w:val="37"/>
    <w:semiHidden/>
    <w:unhideWhenUsed/>
    <w:rsid w:val="00DC78E9"/>
    <w:pPr>
      <w:autoSpaceDE w:val="0"/>
      <w:autoSpaceDN w:val="0"/>
      <w:adjustRightInd w:val="0"/>
      <w:spacing w:after="120"/>
      <w:jc w:val="both"/>
    </w:pPr>
    <w:rPr>
      <w:rFonts w:ascii="Arial" w:eastAsia="Calibri" w:hAnsi="Arial" w:cs="Helvetica-Light"/>
      <w:color w:val="000000"/>
    </w:rPr>
  </w:style>
  <w:style w:type="paragraph" w:styleId="BodyTextFirstIndent">
    <w:name w:val="Body Text First Indent"/>
    <w:basedOn w:val="Normal"/>
    <w:link w:val="BodyTextFirstIndentChar"/>
    <w:uiPriority w:val="99"/>
    <w:rsid w:val="00DC78E9"/>
    <w:pPr>
      <w:autoSpaceDE w:val="0"/>
      <w:autoSpaceDN w:val="0"/>
      <w:adjustRightInd w:val="0"/>
      <w:spacing w:after="120"/>
      <w:ind w:firstLine="210"/>
      <w:jc w:val="both"/>
    </w:pPr>
    <w:rPr>
      <w:rFonts w:ascii="Arial" w:eastAsia="Calibri" w:hAnsi="Arial" w:cs="Helvetica-Light"/>
      <w:color w:val="000000"/>
    </w:rPr>
  </w:style>
  <w:style w:type="character" w:customStyle="1" w:styleId="BodyTextFirstIndentChar">
    <w:name w:val="Body Text First Indent Char"/>
    <w:basedOn w:val="BodyTextChar"/>
    <w:link w:val="BodyTextFirstIndent"/>
    <w:uiPriority w:val="99"/>
    <w:rsid w:val="00DC78E9"/>
    <w:rPr>
      <w:rFonts w:ascii="Arial" w:eastAsia="Calibri" w:hAnsi="Arial" w:cs="Helvetica-Light"/>
      <w:color w:val="000000"/>
      <w:sz w:val="24"/>
      <w:szCs w:val="24"/>
    </w:rPr>
  </w:style>
  <w:style w:type="paragraph" w:styleId="BodyTextFirstIndent2">
    <w:name w:val="Body Text First Indent 2"/>
    <w:basedOn w:val="BodyTextIndent"/>
    <w:link w:val="BodyTextFirstIndent2Char"/>
    <w:uiPriority w:val="99"/>
    <w:rsid w:val="00DC78E9"/>
    <w:pPr>
      <w:autoSpaceDE w:val="0"/>
      <w:autoSpaceDN w:val="0"/>
      <w:adjustRightInd w:val="0"/>
      <w:ind w:firstLine="210"/>
      <w:jc w:val="both"/>
    </w:pPr>
    <w:rPr>
      <w:rFonts w:ascii="Arial" w:eastAsia="Calibri" w:hAnsi="Arial" w:cs="Helvetica-Light"/>
      <w:color w:val="000000"/>
    </w:rPr>
  </w:style>
  <w:style w:type="character" w:customStyle="1" w:styleId="BodyTextFirstIndent2Char">
    <w:name w:val="Body Text First Indent 2 Char"/>
    <w:basedOn w:val="BodyTextIndentChar"/>
    <w:link w:val="BodyTextFirstIndent2"/>
    <w:uiPriority w:val="99"/>
    <w:rsid w:val="00DC78E9"/>
    <w:rPr>
      <w:rFonts w:ascii="Arial" w:eastAsia="Calibri" w:hAnsi="Arial" w:cs="Helvetica-Light"/>
      <w:color w:val="000000"/>
      <w:sz w:val="24"/>
      <w:szCs w:val="24"/>
    </w:rPr>
  </w:style>
  <w:style w:type="paragraph" w:styleId="Caption">
    <w:name w:val="caption"/>
    <w:basedOn w:val="Normal"/>
    <w:next w:val="Normal"/>
    <w:uiPriority w:val="35"/>
    <w:semiHidden/>
    <w:unhideWhenUsed/>
    <w:qFormat/>
    <w:rsid w:val="00DC78E9"/>
    <w:pPr>
      <w:autoSpaceDE w:val="0"/>
      <w:autoSpaceDN w:val="0"/>
      <w:adjustRightInd w:val="0"/>
      <w:spacing w:after="120"/>
      <w:jc w:val="both"/>
    </w:pPr>
    <w:rPr>
      <w:rFonts w:ascii="Arial" w:eastAsia="Calibri" w:hAnsi="Arial" w:cs="Helvetica-Light"/>
      <w:b/>
      <w:bCs/>
      <w:color w:val="000000"/>
      <w:sz w:val="20"/>
      <w:szCs w:val="20"/>
    </w:rPr>
  </w:style>
  <w:style w:type="paragraph" w:styleId="Closing">
    <w:name w:val="Closing"/>
    <w:basedOn w:val="Normal"/>
    <w:link w:val="ClosingChar"/>
    <w:uiPriority w:val="99"/>
    <w:rsid w:val="00DC78E9"/>
    <w:pPr>
      <w:autoSpaceDE w:val="0"/>
      <w:autoSpaceDN w:val="0"/>
      <w:adjustRightInd w:val="0"/>
      <w:spacing w:after="120"/>
      <w:ind w:left="4252"/>
      <w:jc w:val="both"/>
    </w:pPr>
    <w:rPr>
      <w:rFonts w:ascii="Arial" w:eastAsia="Calibri" w:hAnsi="Arial" w:cs="Helvetica-Light"/>
      <w:color w:val="000000"/>
    </w:rPr>
  </w:style>
  <w:style w:type="character" w:customStyle="1" w:styleId="ClosingChar">
    <w:name w:val="Closing Char"/>
    <w:basedOn w:val="DefaultParagraphFont"/>
    <w:link w:val="Closing"/>
    <w:uiPriority w:val="99"/>
    <w:rsid w:val="00DC78E9"/>
    <w:rPr>
      <w:rFonts w:ascii="Arial" w:eastAsia="Calibri" w:hAnsi="Arial" w:cs="Helvetica-Light"/>
      <w:color w:val="000000"/>
      <w:sz w:val="24"/>
      <w:szCs w:val="24"/>
    </w:rPr>
  </w:style>
  <w:style w:type="paragraph" w:styleId="Date">
    <w:name w:val="Date"/>
    <w:basedOn w:val="Normal"/>
    <w:next w:val="Normal"/>
    <w:link w:val="DateChar"/>
    <w:uiPriority w:val="99"/>
    <w:rsid w:val="00DC78E9"/>
    <w:pPr>
      <w:autoSpaceDE w:val="0"/>
      <w:autoSpaceDN w:val="0"/>
      <w:adjustRightInd w:val="0"/>
      <w:spacing w:after="120"/>
      <w:jc w:val="both"/>
    </w:pPr>
    <w:rPr>
      <w:rFonts w:ascii="Arial" w:eastAsia="Calibri" w:hAnsi="Arial" w:cs="Helvetica-Light"/>
      <w:color w:val="000000"/>
    </w:rPr>
  </w:style>
  <w:style w:type="character" w:customStyle="1" w:styleId="DateChar">
    <w:name w:val="Date Char"/>
    <w:basedOn w:val="DefaultParagraphFont"/>
    <w:link w:val="Date"/>
    <w:uiPriority w:val="99"/>
    <w:rsid w:val="00DC78E9"/>
    <w:rPr>
      <w:rFonts w:ascii="Arial" w:eastAsia="Calibri" w:hAnsi="Arial" w:cs="Helvetica-Light"/>
      <w:color w:val="000000"/>
      <w:sz w:val="24"/>
      <w:szCs w:val="24"/>
    </w:rPr>
  </w:style>
  <w:style w:type="paragraph" w:styleId="EndnoteText">
    <w:name w:val="endnote text"/>
    <w:basedOn w:val="Normal"/>
    <w:link w:val="EndnoteTextChar"/>
    <w:uiPriority w:val="99"/>
    <w:rsid w:val="00DC78E9"/>
    <w:pPr>
      <w:autoSpaceDE w:val="0"/>
      <w:autoSpaceDN w:val="0"/>
      <w:adjustRightInd w:val="0"/>
      <w:spacing w:after="120"/>
      <w:jc w:val="both"/>
    </w:pPr>
    <w:rPr>
      <w:rFonts w:ascii="Arial" w:eastAsia="Calibri" w:hAnsi="Arial" w:cs="Helvetica-Light"/>
      <w:color w:val="000000"/>
      <w:sz w:val="20"/>
      <w:szCs w:val="20"/>
    </w:rPr>
  </w:style>
  <w:style w:type="character" w:customStyle="1" w:styleId="EndnoteTextChar">
    <w:name w:val="Endnote Text Char"/>
    <w:basedOn w:val="DefaultParagraphFont"/>
    <w:link w:val="EndnoteText"/>
    <w:uiPriority w:val="99"/>
    <w:rsid w:val="00DC78E9"/>
    <w:rPr>
      <w:rFonts w:ascii="Arial" w:eastAsia="Calibri" w:hAnsi="Arial" w:cs="Helvetica-Light"/>
      <w:color w:val="000000"/>
      <w:sz w:val="20"/>
      <w:szCs w:val="20"/>
    </w:rPr>
  </w:style>
  <w:style w:type="paragraph" w:styleId="HTMLPreformatted">
    <w:name w:val="HTML Preformatted"/>
    <w:basedOn w:val="Normal"/>
    <w:link w:val="HTMLPreformattedChar"/>
    <w:uiPriority w:val="99"/>
    <w:semiHidden/>
    <w:unhideWhenUsed/>
    <w:rsid w:val="00DC78E9"/>
    <w:pPr>
      <w:autoSpaceDE w:val="0"/>
      <w:autoSpaceDN w:val="0"/>
      <w:adjustRightInd w:val="0"/>
      <w:spacing w:after="120"/>
      <w:jc w:val="both"/>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DC78E9"/>
    <w:rPr>
      <w:rFonts w:ascii="Courier New" w:eastAsia="Calibri" w:hAnsi="Courier New" w:cs="Courier New"/>
      <w:color w:val="000000"/>
      <w:sz w:val="20"/>
      <w:szCs w:val="20"/>
    </w:rPr>
  </w:style>
  <w:style w:type="paragraph" w:styleId="Index7">
    <w:name w:val="index 7"/>
    <w:basedOn w:val="Normal"/>
    <w:next w:val="Normal"/>
    <w:autoRedefine/>
    <w:uiPriority w:val="99"/>
    <w:semiHidden/>
    <w:unhideWhenUsed/>
    <w:rsid w:val="00DC78E9"/>
    <w:pPr>
      <w:autoSpaceDE w:val="0"/>
      <w:autoSpaceDN w:val="0"/>
      <w:adjustRightInd w:val="0"/>
      <w:spacing w:after="120"/>
      <w:ind w:left="1680" w:hanging="240"/>
      <w:jc w:val="both"/>
    </w:pPr>
    <w:rPr>
      <w:rFonts w:ascii="Arial" w:eastAsia="Calibri" w:hAnsi="Arial" w:cs="Helvetica-Light"/>
      <w:color w:val="000000"/>
    </w:rPr>
  </w:style>
  <w:style w:type="paragraph" w:styleId="Index8">
    <w:name w:val="index 8"/>
    <w:basedOn w:val="Normal"/>
    <w:next w:val="Normal"/>
    <w:autoRedefine/>
    <w:uiPriority w:val="99"/>
    <w:semiHidden/>
    <w:unhideWhenUsed/>
    <w:rsid w:val="00DC78E9"/>
    <w:pPr>
      <w:autoSpaceDE w:val="0"/>
      <w:autoSpaceDN w:val="0"/>
      <w:adjustRightInd w:val="0"/>
      <w:spacing w:after="120"/>
      <w:ind w:left="1920" w:hanging="240"/>
      <w:jc w:val="both"/>
    </w:pPr>
    <w:rPr>
      <w:rFonts w:ascii="Arial" w:eastAsia="Calibri" w:hAnsi="Arial" w:cs="Helvetica-Light"/>
      <w:color w:val="000000"/>
    </w:rPr>
  </w:style>
  <w:style w:type="paragraph" w:styleId="Index9">
    <w:name w:val="index 9"/>
    <w:basedOn w:val="Normal"/>
    <w:next w:val="Normal"/>
    <w:autoRedefine/>
    <w:uiPriority w:val="99"/>
    <w:semiHidden/>
    <w:unhideWhenUsed/>
    <w:rsid w:val="00DC78E9"/>
    <w:pPr>
      <w:autoSpaceDE w:val="0"/>
      <w:autoSpaceDN w:val="0"/>
      <w:adjustRightInd w:val="0"/>
      <w:spacing w:after="120"/>
      <w:ind w:left="2160" w:hanging="240"/>
      <w:jc w:val="both"/>
    </w:pPr>
    <w:rPr>
      <w:rFonts w:ascii="Arial" w:eastAsia="Calibri" w:hAnsi="Arial" w:cs="Helvetica-Light"/>
      <w:color w:val="000000"/>
    </w:rPr>
  </w:style>
  <w:style w:type="paragraph" w:styleId="Index1">
    <w:name w:val="index 1"/>
    <w:basedOn w:val="Normal"/>
    <w:next w:val="Normal"/>
    <w:autoRedefine/>
    <w:uiPriority w:val="99"/>
    <w:semiHidden/>
    <w:unhideWhenUsed/>
    <w:rsid w:val="00DC78E9"/>
    <w:pPr>
      <w:autoSpaceDE w:val="0"/>
      <w:autoSpaceDN w:val="0"/>
      <w:adjustRightInd w:val="0"/>
      <w:ind w:left="240" w:hanging="240"/>
      <w:jc w:val="both"/>
    </w:pPr>
    <w:rPr>
      <w:rFonts w:ascii="Arial" w:eastAsia="Calibri" w:hAnsi="Arial" w:cs="Helvetica-Light"/>
      <w:color w:val="000000"/>
    </w:rPr>
  </w:style>
  <w:style w:type="paragraph" w:styleId="IndexHeading">
    <w:name w:val="index heading"/>
    <w:basedOn w:val="Normal"/>
    <w:next w:val="Normal"/>
    <w:uiPriority w:val="99"/>
    <w:semiHidden/>
    <w:unhideWhenUsed/>
    <w:rsid w:val="00DC78E9"/>
    <w:pPr>
      <w:autoSpaceDE w:val="0"/>
      <w:autoSpaceDN w:val="0"/>
      <w:adjustRightInd w:val="0"/>
      <w:spacing w:after="120"/>
      <w:jc w:val="both"/>
    </w:pPr>
    <w:rPr>
      <w:rFonts w:ascii="Cambria" w:hAnsi="Cambria"/>
      <w:b/>
      <w:bCs/>
      <w:color w:val="000000"/>
    </w:rPr>
  </w:style>
  <w:style w:type="paragraph" w:styleId="NormalIndent">
    <w:name w:val="Normal Indent"/>
    <w:basedOn w:val="Normal"/>
    <w:uiPriority w:val="99"/>
    <w:semiHidden/>
    <w:unhideWhenUsed/>
    <w:rsid w:val="00DC78E9"/>
    <w:pPr>
      <w:autoSpaceDE w:val="0"/>
      <w:autoSpaceDN w:val="0"/>
      <w:adjustRightInd w:val="0"/>
      <w:spacing w:after="120"/>
      <w:ind w:left="720"/>
      <w:jc w:val="both"/>
    </w:pPr>
    <w:rPr>
      <w:rFonts w:ascii="Arial" w:eastAsia="Calibri" w:hAnsi="Arial" w:cs="Helvetica-Light"/>
      <w:color w:val="000000"/>
    </w:rPr>
  </w:style>
  <w:style w:type="paragraph" w:styleId="Quote">
    <w:name w:val="Quote"/>
    <w:basedOn w:val="Normal"/>
    <w:next w:val="Normal"/>
    <w:link w:val="QuoteChar"/>
    <w:uiPriority w:val="29"/>
    <w:qFormat/>
    <w:rsid w:val="00DC78E9"/>
    <w:pPr>
      <w:autoSpaceDE w:val="0"/>
      <w:autoSpaceDN w:val="0"/>
      <w:adjustRightInd w:val="0"/>
      <w:spacing w:after="120"/>
      <w:ind w:left="567" w:right="515"/>
      <w:jc w:val="both"/>
    </w:pPr>
    <w:rPr>
      <w:rFonts w:ascii="Arial" w:eastAsia="Calibri" w:hAnsi="Arial" w:cs="Helvetica-Light"/>
      <w:i/>
      <w:iCs/>
      <w:color w:val="000000"/>
    </w:rPr>
  </w:style>
  <w:style w:type="character" w:customStyle="1" w:styleId="QuoteChar">
    <w:name w:val="Quote Char"/>
    <w:basedOn w:val="DefaultParagraphFont"/>
    <w:link w:val="Quote"/>
    <w:uiPriority w:val="29"/>
    <w:rsid w:val="00DC78E9"/>
    <w:rPr>
      <w:rFonts w:ascii="Arial" w:eastAsia="Calibri" w:hAnsi="Arial" w:cs="Helvetica-Light"/>
      <w:i/>
      <w:iCs/>
      <w:color w:val="000000"/>
      <w:sz w:val="24"/>
      <w:szCs w:val="24"/>
    </w:rPr>
  </w:style>
  <w:style w:type="paragraph" w:styleId="TOC5">
    <w:name w:val="toc 5"/>
    <w:basedOn w:val="Normal"/>
    <w:next w:val="Normal"/>
    <w:autoRedefine/>
    <w:uiPriority w:val="39"/>
    <w:semiHidden/>
    <w:unhideWhenUsed/>
    <w:rsid w:val="00DC78E9"/>
    <w:pPr>
      <w:autoSpaceDE w:val="0"/>
      <w:autoSpaceDN w:val="0"/>
      <w:adjustRightInd w:val="0"/>
      <w:spacing w:after="120"/>
      <w:ind w:left="960"/>
      <w:jc w:val="both"/>
    </w:pPr>
    <w:rPr>
      <w:rFonts w:ascii="Arial" w:eastAsia="Calibri" w:hAnsi="Arial" w:cs="Helvetica-Light"/>
      <w:color w:val="000000"/>
    </w:rPr>
  </w:style>
  <w:style w:type="paragraph" w:styleId="TOC6">
    <w:name w:val="toc 6"/>
    <w:basedOn w:val="Normal"/>
    <w:next w:val="Normal"/>
    <w:autoRedefine/>
    <w:uiPriority w:val="39"/>
    <w:semiHidden/>
    <w:unhideWhenUsed/>
    <w:rsid w:val="00DC78E9"/>
    <w:pPr>
      <w:autoSpaceDE w:val="0"/>
      <w:autoSpaceDN w:val="0"/>
      <w:adjustRightInd w:val="0"/>
      <w:spacing w:after="120"/>
      <w:ind w:left="1200"/>
      <w:jc w:val="both"/>
    </w:pPr>
    <w:rPr>
      <w:rFonts w:ascii="Arial" w:eastAsia="Calibri" w:hAnsi="Arial" w:cs="Helvetica-Light"/>
      <w:color w:val="000000"/>
    </w:rPr>
  </w:style>
  <w:style w:type="paragraph" w:styleId="TOC7">
    <w:name w:val="toc 7"/>
    <w:basedOn w:val="Normal"/>
    <w:next w:val="Normal"/>
    <w:autoRedefine/>
    <w:uiPriority w:val="39"/>
    <w:semiHidden/>
    <w:unhideWhenUsed/>
    <w:rsid w:val="00DC78E9"/>
    <w:pPr>
      <w:autoSpaceDE w:val="0"/>
      <w:autoSpaceDN w:val="0"/>
      <w:adjustRightInd w:val="0"/>
      <w:spacing w:after="120"/>
      <w:ind w:left="1440"/>
      <w:jc w:val="both"/>
    </w:pPr>
    <w:rPr>
      <w:rFonts w:ascii="Arial" w:eastAsia="Calibri" w:hAnsi="Arial" w:cs="Helvetica-Light"/>
      <w:color w:val="000000"/>
    </w:rPr>
  </w:style>
  <w:style w:type="paragraph" w:styleId="TOC8">
    <w:name w:val="toc 8"/>
    <w:basedOn w:val="Normal"/>
    <w:next w:val="Normal"/>
    <w:autoRedefine/>
    <w:uiPriority w:val="39"/>
    <w:semiHidden/>
    <w:unhideWhenUsed/>
    <w:rsid w:val="00DC78E9"/>
    <w:pPr>
      <w:autoSpaceDE w:val="0"/>
      <w:autoSpaceDN w:val="0"/>
      <w:adjustRightInd w:val="0"/>
      <w:spacing w:after="120"/>
      <w:ind w:left="1680"/>
      <w:jc w:val="both"/>
    </w:pPr>
    <w:rPr>
      <w:rFonts w:ascii="Arial" w:eastAsia="Calibri" w:hAnsi="Arial" w:cs="Helvetica-Light"/>
      <w:color w:val="000000"/>
    </w:rPr>
  </w:style>
  <w:style w:type="paragraph" w:styleId="TOC9">
    <w:name w:val="toc 9"/>
    <w:basedOn w:val="Normal"/>
    <w:next w:val="Normal"/>
    <w:autoRedefine/>
    <w:uiPriority w:val="39"/>
    <w:semiHidden/>
    <w:unhideWhenUsed/>
    <w:rsid w:val="00DC78E9"/>
    <w:pPr>
      <w:autoSpaceDE w:val="0"/>
      <w:autoSpaceDN w:val="0"/>
      <w:adjustRightInd w:val="0"/>
      <w:spacing w:after="120"/>
      <w:ind w:left="1920"/>
      <w:jc w:val="both"/>
    </w:pPr>
    <w:rPr>
      <w:rFonts w:ascii="Arial" w:eastAsia="Calibri" w:hAnsi="Arial" w:cs="Helvetica-Light"/>
      <w:color w:val="000000"/>
    </w:rPr>
  </w:style>
  <w:style w:type="character" w:styleId="EndnoteReference">
    <w:name w:val="endnote reference"/>
    <w:uiPriority w:val="99"/>
    <w:rsid w:val="00DC78E9"/>
    <w:rPr>
      <w:vertAlign w:val="superscript"/>
    </w:rPr>
  </w:style>
  <w:style w:type="table" w:styleId="TableList4">
    <w:name w:val="Table List 4"/>
    <w:basedOn w:val="TableNormal"/>
    <w:rsid w:val="00DC78E9"/>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DC78E9"/>
    <w:pPr>
      <w:keepLines/>
      <w:numPr>
        <w:numId w:val="3"/>
      </w:numPr>
      <w:tabs>
        <w:tab w:val="left" w:pos="426"/>
      </w:tabs>
      <w:autoSpaceDE w:val="0"/>
      <w:autoSpaceDN w:val="0"/>
      <w:adjustRightInd w:val="0"/>
      <w:spacing w:before="60" w:after="120"/>
      <w:ind w:left="426" w:hanging="426"/>
      <w:jc w:val="both"/>
    </w:pPr>
    <w:rPr>
      <w:i/>
      <w:sz w:val="28"/>
      <w:szCs w:val="28"/>
    </w:rPr>
  </w:style>
  <w:style w:type="paragraph" w:customStyle="1" w:styleId="TOCHeader">
    <w:name w:val="TOC Header"/>
    <w:basedOn w:val="TableTitle"/>
    <w:qFormat/>
    <w:rsid w:val="00DC78E9"/>
  </w:style>
  <w:style w:type="paragraph" w:customStyle="1" w:styleId="Instructiontext">
    <w:name w:val="Instruction text"/>
    <w:basedOn w:val="Normal"/>
    <w:uiPriority w:val="2"/>
    <w:qFormat/>
    <w:rsid w:val="00DC78E9"/>
    <w:pPr>
      <w:autoSpaceDE w:val="0"/>
      <w:autoSpaceDN w:val="0"/>
      <w:adjustRightInd w:val="0"/>
      <w:jc w:val="both"/>
    </w:pPr>
    <w:rPr>
      <w:rFonts w:ascii="Arial" w:hAnsi="Arial" w:cs="Helvetica-Light"/>
      <w:i/>
      <w:color w:val="FF0000"/>
      <w:sz w:val="22"/>
      <w:szCs w:val="22"/>
      <w:lang w:eastAsia="en-GB"/>
    </w:rPr>
  </w:style>
  <w:style w:type="paragraph" w:styleId="TOCHeading">
    <w:name w:val="TOC Heading"/>
    <w:basedOn w:val="Heading1"/>
    <w:next w:val="Normal"/>
    <w:uiPriority w:val="39"/>
    <w:unhideWhenUsed/>
    <w:qFormat/>
    <w:rsid w:val="00DC78E9"/>
    <w:pPr>
      <w:keepLines/>
      <w:tabs>
        <w:tab w:val="clear" w:pos="9000"/>
        <w:tab w:val="clear" w:pos="9990"/>
        <w:tab w:val="clear" w:pos="12240"/>
      </w:tabs>
      <w:spacing w:before="240" w:line="259" w:lineRule="auto"/>
      <w:outlineLvl w:val="9"/>
    </w:pPr>
    <w:rPr>
      <w:rFonts w:ascii="Calibri Light" w:hAnsi="Calibri Light"/>
      <w:b w:val="0"/>
      <w:color w:val="2E74B5"/>
      <w:sz w:val="32"/>
      <w:szCs w:val="32"/>
      <w:lang w:val="en-US"/>
    </w:rPr>
  </w:style>
  <w:style w:type="paragraph" w:customStyle="1" w:styleId="BodyText1">
    <w:name w:val="Body Text1"/>
    <w:basedOn w:val="Normal"/>
    <w:rsid w:val="00DC78E9"/>
    <w:pPr>
      <w:keepLines/>
      <w:autoSpaceDE w:val="0"/>
      <w:autoSpaceDN w:val="0"/>
      <w:adjustRightInd w:val="0"/>
      <w:spacing w:before="140" w:after="140"/>
      <w:jc w:val="both"/>
    </w:pPr>
    <w:rPr>
      <w:rFonts w:ascii="Arial" w:hAnsi="Arial" w:cs="Helvetica-Light"/>
      <w:lang w:eastAsia="en-GB"/>
    </w:rPr>
  </w:style>
  <w:style w:type="paragraph" w:customStyle="1" w:styleId="Bodytextnumbered">
    <w:name w:val="Body text (numbered)"/>
    <w:basedOn w:val="Normal"/>
    <w:rsid w:val="00DC78E9"/>
    <w:pPr>
      <w:numPr>
        <w:numId w:val="4"/>
      </w:numPr>
      <w:spacing w:before="140" w:after="140"/>
    </w:pPr>
    <w:rPr>
      <w:rFonts w:ascii="Arial" w:hAnsi="Arial"/>
      <w:lang w:eastAsia="en-GB"/>
    </w:rPr>
  </w:style>
  <w:style w:type="paragraph" w:customStyle="1" w:styleId="Body1">
    <w:name w:val="Body 1"/>
    <w:rsid w:val="00DC78E9"/>
    <w:pPr>
      <w:spacing w:after="200" w:line="276" w:lineRule="auto"/>
      <w:outlineLvl w:val="0"/>
    </w:pPr>
    <w:rPr>
      <w:rFonts w:ascii="Arial" w:eastAsia="Arial Unicode MS" w:hAnsi="Arial" w:cs="Times New Roman"/>
      <w:color w:val="000000"/>
      <w:sz w:val="24"/>
      <w:szCs w:val="20"/>
      <w:u w:color="000000"/>
      <w:lang w:eastAsia="en-GB"/>
    </w:rPr>
  </w:style>
  <w:style w:type="numbering" w:customStyle="1" w:styleId="NoList1">
    <w:name w:val="No List1"/>
    <w:next w:val="NoList"/>
    <w:uiPriority w:val="99"/>
    <w:semiHidden/>
    <w:unhideWhenUsed/>
    <w:rsid w:val="00DC78E9"/>
  </w:style>
  <w:style w:type="table" w:customStyle="1" w:styleId="TableGrid1">
    <w:name w:val="Table Grid1"/>
    <w:basedOn w:val="TableNormal"/>
    <w:next w:val="TableGrid"/>
    <w:rsid w:val="00DC78E9"/>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
    <w:name w:val="Table List 41"/>
    <w:basedOn w:val="TableNormal"/>
    <w:next w:val="TableList4"/>
    <w:rsid w:val="00DC78E9"/>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1">
    <w:name w:val="Table Grid11"/>
    <w:basedOn w:val="TableNormal"/>
    <w:next w:val="TableGrid"/>
    <w:rsid w:val="00DC78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DC78E9"/>
    <w:pPr>
      <w:spacing w:line="231" w:lineRule="atLeast"/>
    </w:pPr>
    <w:rPr>
      <w:rFonts w:ascii="FS Lola" w:eastAsiaTheme="minorHAnsi" w:hAnsi="FS Lola" w:cstheme="minorBidi"/>
      <w:color w:val="auto"/>
      <w:lang w:eastAsia="en-US"/>
    </w:rPr>
  </w:style>
  <w:style w:type="table" w:styleId="LightList-Accent3">
    <w:name w:val="Light List Accent 3"/>
    <w:basedOn w:val="TableNormal"/>
    <w:uiPriority w:val="61"/>
    <w:rsid w:val="00DC78E9"/>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BulletOne">
    <w:name w:val="BulletOne"/>
    <w:basedOn w:val="Normal"/>
    <w:rsid w:val="00DC78E9"/>
    <w:pPr>
      <w:numPr>
        <w:numId w:val="5"/>
      </w:numPr>
    </w:pPr>
    <w:rPr>
      <w:rFonts w:ascii="Arial" w:hAnsi="Arial"/>
      <w:sz w:val="22"/>
      <w:szCs w:val="22"/>
      <w:lang w:eastAsia="en-GB"/>
    </w:rPr>
  </w:style>
  <w:style w:type="table" w:customStyle="1" w:styleId="PlainTable31">
    <w:name w:val="Plain Table 31"/>
    <w:basedOn w:val="TableNormal"/>
    <w:uiPriority w:val="43"/>
    <w:rsid w:val="00DC78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22">
    <w:name w:val="Pa22"/>
    <w:basedOn w:val="Default"/>
    <w:next w:val="Default"/>
    <w:uiPriority w:val="99"/>
    <w:rsid w:val="00DC78E9"/>
    <w:pPr>
      <w:spacing w:line="281" w:lineRule="atLeast"/>
    </w:pPr>
    <w:rPr>
      <w:rFonts w:ascii="FS Lola" w:eastAsiaTheme="minorHAnsi" w:hAnsi="FS Lola" w:cstheme="minorBidi"/>
      <w:color w:val="auto"/>
      <w:lang w:eastAsia="en-US"/>
    </w:rPr>
  </w:style>
  <w:style w:type="paragraph" w:customStyle="1" w:styleId="Pa9">
    <w:name w:val="Pa9"/>
    <w:basedOn w:val="Default"/>
    <w:next w:val="Default"/>
    <w:uiPriority w:val="99"/>
    <w:rsid w:val="00DC78E9"/>
    <w:pPr>
      <w:spacing w:line="231" w:lineRule="atLeast"/>
    </w:pPr>
    <w:rPr>
      <w:rFonts w:ascii="FS Lola" w:eastAsiaTheme="minorHAnsi" w:hAnsi="FS Lola" w:cstheme="minorBidi"/>
      <w:color w:val="auto"/>
      <w:lang w:eastAsia="en-US"/>
    </w:rPr>
  </w:style>
  <w:style w:type="paragraph" w:customStyle="1" w:styleId="Pa0">
    <w:name w:val="Pa0"/>
    <w:basedOn w:val="Default"/>
    <w:next w:val="Default"/>
    <w:uiPriority w:val="99"/>
    <w:rsid w:val="00DC78E9"/>
    <w:pPr>
      <w:spacing w:line="241" w:lineRule="atLeast"/>
    </w:pPr>
    <w:rPr>
      <w:rFonts w:ascii="FS Lola" w:eastAsiaTheme="minorHAnsi" w:hAnsi="FS Lola" w:cstheme="minorBidi"/>
      <w:color w:val="auto"/>
      <w:lang w:eastAsia="en-US"/>
    </w:rPr>
  </w:style>
  <w:style w:type="character" w:customStyle="1" w:styleId="A4">
    <w:name w:val="A4"/>
    <w:uiPriority w:val="99"/>
    <w:rsid w:val="00DC78E9"/>
    <w:rPr>
      <w:rFonts w:cs="FS Lola"/>
      <w:color w:val="000000"/>
      <w:sz w:val="23"/>
      <w:szCs w:val="23"/>
    </w:rPr>
  </w:style>
  <w:style w:type="numbering" w:customStyle="1" w:styleId="NoList2">
    <w:name w:val="No List2"/>
    <w:next w:val="NoList"/>
    <w:uiPriority w:val="99"/>
    <w:semiHidden/>
    <w:unhideWhenUsed/>
    <w:rsid w:val="00DC78E9"/>
  </w:style>
  <w:style w:type="table" w:customStyle="1" w:styleId="TableGrid2">
    <w:name w:val="Table Grid2"/>
    <w:basedOn w:val="TableNormal"/>
    <w:next w:val="TableGrid"/>
    <w:rsid w:val="00DC78E9"/>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2">
    <w:name w:val="Table List 42"/>
    <w:basedOn w:val="TableNormal"/>
    <w:next w:val="TableList4"/>
    <w:rsid w:val="00DC78E9"/>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
    <w:name w:val="Table Grid12"/>
    <w:basedOn w:val="TableNormal"/>
    <w:next w:val="TableGrid"/>
    <w:rsid w:val="00DC78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Normal"/>
    <w:next w:val="Normal"/>
    <w:rsid w:val="00DC78E9"/>
    <w:pPr>
      <w:spacing w:after="60"/>
    </w:pPr>
    <w:rPr>
      <w:rFonts w:ascii="Arial" w:hAnsi="Arial" w:cs="Arial"/>
      <w:caps/>
      <w:sz w:val="36"/>
      <w:szCs w:val="20"/>
      <w:lang w:val="en-US"/>
    </w:rPr>
  </w:style>
  <w:style w:type="table" w:customStyle="1" w:styleId="PlainTable310">
    <w:name w:val="Plain Table 31"/>
    <w:basedOn w:val="TableNormal"/>
    <w:uiPriority w:val="43"/>
    <w:rsid w:val="00DC78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3">
    <w:name w:val="No List3"/>
    <w:next w:val="NoList"/>
    <w:uiPriority w:val="99"/>
    <w:semiHidden/>
    <w:unhideWhenUsed/>
    <w:rsid w:val="00DC78E9"/>
  </w:style>
  <w:style w:type="table" w:customStyle="1" w:styleId="TableGrid3">
    <w:name w:val="Table Grid3"/>
    <w:basedOn w:val="TableNormal"/>
    <w:next w:val="TableGrid"/>
    <w:uiPriority w:val="39"/>
    <w:rsid w:val="00DC7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463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pensionservice.org.uk/local_government/index.asp?siteid=5921&amp;pageid=33736&amp;e=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B6B0-DFE5-44E7-831E-7858759A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42</Pages>
  <Words>10955</Words>
  <Characters>62444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Gallacher, Helen</dc:creator>
  <cp:lastModifiedBy>Neville, Mike</cp:lastModifiedBy>
  <cp:revision>4</cp:revision>
  <cp:lastPrinted>2017-05-25T12:18:00Z</cp:lastPrinted>
  <dcterms:created xsi:type="dcterms:W3CDTF">2017-06-15T12:55:00Z</dcterms:created>
  <dcterms:modified xsi:type="dcterms:W3CDTF">2017-06-21T16:24:00Z</dcterms:modified>
</cp:coreProperties>
</file>